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t xml:space="preserve">招 标 文 件</w:t>
      </w:r>
      <w:r/>
      <w:r>
        <w:rPr>
          <w:rFonts w:ascii="Arial" w:hAnsi="Arial" w:cs="Arial"/>
          <w:b/>
          <w:color w:val="auto"/>
          <w:sz w:val="84"/>
          <w:szCs w:val="84"/>
          <w:highlight w:val="none"/>
        </w:rPr>
      </w:r>
      <w:r/>
      <w:r>
        <w:rPr>
          <w:rFonts w:ascii="Arial" w:hAnsi="Arial" w:cs="Arial"/>
          <w:b/>
          <w:color w:val="auto"/>
          <w:sz w:val="84"/>
          <w:szCs w:val="84"/>
          <w:highlight w:val="none"/>
        </w:rPr>
      </w:r>
    </w:p>
    <w:p>
      <w:pPr>
        <w:pStyle w:val="956"/>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r>
      <w:r>
        <w:rPr>
          <w:rFonts w:ascii="Arial" w:hAnsi="Arial" w:cs="Arial"/>
          <w:b/>
          <w:color w:val="auto"/>
          <w:sz w:val="84"/>
          <w:szCs w:val="84"/>
          <w:highlight w:val="none"/>
        </w:rPr>
      </w:r>
    </w:p>
    <w:p>
      <w:pPr>
        <w:pStyle w:val="956"/>
        <w:ind w:firstLine="643"/>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2026年盐都区农村地区智慧安防村居建设项目</w:t>
      </w:r>
      <w:r/>
    </w:p>
    <w:p>
      <w:pPr>
        <w:pStyle w:val="956"/>
        <w:ind w:firstLine="643"/>
        <w:jc w:val="both"/>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JSZC-320900-</w:t>
      </w:r>
      <w:r>
        <w:rPr>
          <w:rFonts w:hint="eastAsia" w:ascii="Arial" w:hAnsi="Arial" w:cs="Arial"/>
          <w:b/>
          <w:color w:val="auto"/>
          <w:sz w:val="32"/>
          <w:szCs w:val="32"/>
          <w:highlight w:val="none"/>
          <w:lang w:val="en-US" w:eastAsia="zh-CN"/>
        </w:rPr>
        <w:t xml:space="preserve">JSCS</w:t>
      </w:r>
      <w:r>
        <w:rPr>
          <w:rFonts w:hint="eastAsia" w:ascii="Arial" w:hAnsi="Arial" w:cs="Arial"/>
          <w:b/>
          <w:color w:val="auto"/>
          <w:sz w:val="32"/>
          <w:szCs w:val="32"/>
          <w:highlight w:val="none"/>
        </w:rPr>
        <w:t xml:space="preserve">-G2026-</w:t>
      </w:r>
      <w:r>
        <w:rPr>
          <w:rFonts w:hint="eastAsia" w:ascii="Arial" w:hAnsi="Arial" w:cs="Arial"/>
          <w:b/>
          <w:color w:val="auto"/>
          <w:sz w:val="32"/>
          <w:szCs w:val="32"/>
          <w:highlight w:val="none"/>
          <w:lang w:val="en-US" w:eastAsia="zh-CN"/>
        </w:rPr>
        <w:t xml:space="preserve">001</w:t>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盐城市公安局盐都分局</w:t>
      </w:r>
      <w:r/>
    </w:p>
    <w:p>
      <w:pPr>
        <w:pStyle w:val="9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9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956"/>
        <w:jc w:val="center"/>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523127445"/>
      <w:r/>
      <w:bookmarkStart w:id="1" w:name="_Toc513029200"/>
      <w:r/>
      <w:bookmarkStart w:id="2" w:name="_Toc479757206"/>
      <w:r/>
      <w:bookmarkStart w:id="3" w:name="_Toc120614210"/>
      <w:r/>
      <w:bookmarkStart w:id="4" w:name="_Toc16938516"/>
      <w:r/>
      <w:bookmarkStart w:id="5" w:name="_Toc20823272"/>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9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45</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76</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83</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招标公告</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2026年盐都区农村地区智慧安防村居建设项目JSZC-320900-</w:t>
      </w:r>
      <w:r>
        <w:rPr>
          <w:rFonts w:hint="eastAsia" w:ascii="宋体" w:hAnsi="宋体" w:eastAsia="宋体" w:cs="宋体"/>
          <w:color w:val="auto"/>
          <w:sz w:val="24"/>
          <w:szCs w:val="24"/>
          <w:highlight w:val="none"/>
          <w:u w:val="single"/>
          <w:lang w:val="en-US" w:eastAsia="zh-CN"/>
        </w:rPr>
        <w:t xml:space="preserve">JSCS</w:t>
      </w:r>
      <w:r>
        <w:rPr>
          <w:rFonts w:hint="eastAsia" w:ascii="宋体" w:hAnsi="宋体" w:eastAsia="宋体" w:cs="宋体"/>
          <w:color w:val="auto"/>
          <w:sz w:val="24"/>
          <w:szCs w:val="24"/>
          <w:highlight w:val="none"/>
          <w:u w:val="single"/>
          <w:lang w:eastAsia="zh-CN"/>
        </w:rPr>
        <w:t xml:space="preserve">-G2026-</w:t>
      </w:r>
      <w:r>
        <w:rPr>
          <w:rFonts w:hint="eastAsia" w:ascii="宋体" w:hAnsi="宋体" w:eastAsia="宋体" w:cs="宋体"/>
          <w:color w:val="auto"/>
          <w:sz w:val="24"/>
          <w:szCs w:val="24"/>
          <w:highlight w:val="none"/>
          <w:u w:val="single"/>
          <w:lang w:val="en-US" w:eastAsia="zh-CN"/>
        </w:rPr>
        <w:t xml:space="preserve">001</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5393790"/>
      <w:r/>
      <w:bookmarkStart w:id="8" w:name="_Toc35393621"/>
      <w:r/>
      <w:bookmarkStart w:id="9" w:name="_Hlk24379207"/>
      <w:r/>
      <w:bookmarkStart w:id="10" w:name="_Toc28359002"/>
      <w:r/>
      <w:bookmarkStart w:id="11" w:name="_Toc28359079"/>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u w:val="none"/>
          <w:lang w:eastAsia="zh-CN"/>
        </w:rPr>
        <w:t xml:space="preserve">2026年盐都区农村地区智慧安防村居建设项目；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1500.0000万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包一850.0000万元、包二650.0000万元</w:t>
      </w:r>
      <w:r>
        <w:rPr>
          <w:rFonts w:hint="eastAsia" w:ascii="宋体" w:hAnsi="宋体" w:eastAsia="宋体" w:cs="宋体"/>
          <w:color w:val="auto"/>
          <w:sz w:val="24"/>
          <w:szCs w:val="24"/>
          <w:highlight w:val="none"/>
          <w:shd w:val="clear" w:color="auto" w:fill="auto"/>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val="en-US" w:eastAsia="zh-CN"/>
        </w:rPr>
        <w:t xml:space="preserve">5.最高限价：1483.5620万元（包一838.0860万元、包二645.4760万元）</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shd w:val="clear" w:color="auto" w:fill="auto"/>
        </w:rPr>
        <w:t xml:space="preserve">具体采购范围及所应达到的具体要求，以本招标文件中项目需求的相应要求为准。（详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956"/>
        <w:ind w:firstLine="480"/>
        <w:jc w:val="both"/>
        <w:spacing w:beforeAutospacing="0" w:afterAutospacing="0"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工期（包一90日历天，包二60日历天）内必须完成供货并安装、调试并满足试运行要求，试运行及验收合格后交付甲方使用直至质保期满；</w:t>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28359080"/>
      <w:r/>
      <w:bookmarkStart w:id="14" w:name="_Toc35393791"/>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3.1投标人须具有建设行政主管部门核发的电子与智能化工程专业承包二级及以上施工资质。</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3.2投标人须具有建设行政主管部门核发的安全生产许可证。</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624"/>
      <w:r/>
      <w:bookmarkStart w:id="20" w:name="_Toc28359082"/>
      <w:r/>
      <w:bookmarkStart w:id="21" w:name="_Toc35393793"/>
      <w:r/>
      <w:bookmarkStart w:id="22" w:name="_Toc38985266"/>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b/>
          <w:bCs/>
          <w:i w:val="0"/>
          <w:iCs w:val="0"/>
          <w:caps w:val="0"/>
          <w:color w:val="auto"/>
          <w:spacing w:val="0"/>
          <w:sz w:val="24"/>
          <w:szCs w:val="24"/>
          <w:highlight w:val="none"/>
          <w:u w:val="single"/>
          <w:shd w:val="clear" w:color="auto" w:fill="auto"/>
        </w:rPr>
        <w:t xml:space="preserve">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7</w:t>
      </w:r>
      <w:r>
        <w:rPr>
          <w:rFonts w:hint="eastAsia" w:ascii="宋体" w:hAnsi="宋体" w:eastAsia="宋体" w:cs="宋体"/>
          <w:b/>
          <w:bCs/>
          <w:i w:val="0"/>
          <w:iCs w:val="0"/>
          <w:caps w:val="0"/>
          <w:color w:val="auto"/>
          <w:spacing w:val="0"/>
          <w:sz w:val="24"/>
          <w:szCs w:val="24"/>
          <w:highlight w:val="none"/>
          <w:u w:val="single"/>
          <w:shd w:val="clear" w:color="auto" w:fill="auto"/>
        </w:rPr>
        <w:t xml:space="preserve">月</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22</w:t>
      </w:r>
      <w:r>
        <w:rPr>
          <w:rFonts w:hint="eastAsia" w:ascii="宋体" w:hAnsi="宋体" w:eastAsia="宋体" w:cs="宋体"/>
          <w:b/>
          <w:bCs/>
          <w:i w:val="0"/>
          <w:iCs w:val="0"/>
          <w:caps w:val="0"/>
          <w:color w:val="auto"/>
          <w:spacing w:val="0"/>
          <w:sz w:val="24"/>
          <w:szCs w:val="24"/>
          <w:highlight w:val="none"/>
          <w:u w:val="single"/>
          <w:shd w:val="clear" w:color="auto" w:fill="auto"/>
        </w:rPr>
        <w:t xml:space="preserve">日</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9时00分</w:t>
      </w:r>
      <w:r>
        <w:rPr>
          <w:rFonts w:hint="eastAsia" w:ascii="宋体" w:hAnsi="宋体" w:eastAsia="宋体" w:cs="宋体"/>
          <w:color w:val="auto"/>
          <w:sz w:val="24"/>
          <w:szCs w:val="24"/>
          <w:highlight w:val="none"/>
          <w:shd w:val="clear" w:color="auto" w:fill="auto"/>
        </w:rPr>
        <w:t xml:space="preserve">（北京时间）</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w:t>
      </w:r>
      <w:r/>
    </w:p>
    <w:p>
      <w:pPr>
        <w:pStyle w:val="956"/>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46"/>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称：盐城市公安局盐都分局</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址：</w:t>
      </w:r>
      <w:r>
        <w:rPr>
          <w:rFonts w:hint="eastAsia" w:asciiTheme="minorEastAsia" w:hAnsiTheme="minorEastAsia" w:eastAsiaTheme="minorEastAsia" w:cstheme="minorEastAsia"/>
          <w:color w:val="auto"/>
          <w:sz w:val="24"/>
          <w:szCs w:val="24"/>
          <w:highlight w:val="none"/>
        </w:rPr>
        <w:t xml:space="preserve">盐城市盐都区新都路630号</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联系人：徐</w:t>
      </w:r>
      <w:r>
        <w:rPr>
          <w:rFonts w:hint="eastAsia" w:asciiTheme="minorEastAsia" w:hAnsiTheme="minorEastAsia" w:cstheme="minorEastAsia"/>
          <w:color w:val="auto"/>
          <w:sz w:val="24"/>
          <w:szCs w:val="24"/>
          <w:highlight w:val="none"/>
          <w:lang w:val="en-US" w:eastAsia="zh-CN"/>
        </w:rPr>
        <w:t xml:space="preserve">警官</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联系方式：15195140992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2.采购代理机构信息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 称：江苏创盛项目管理有限公司</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 址：</w:t>
      </w:r>
      <w:r>
        <w:rPr>
          <w:rFonts w:hint="eastAsia" w:asciiTheme="minorEastAsia" w:hAnsiTheme="minorEastAsia" w:eastAsiaTheme="minorEastAsia" w:cstheme="minorEastAsia"/>
          <w:color w:val="auto"/>
          <w:sz w:val="24"/>
          <w:szCs w:val="24"/>
          <w:highlight w:val="none"/>
        </w:rPr>
        <w:t xml:space="preserve">江苏省盐城市盐都区新都西路29号紫金大厦13楼</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周工</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w:t>
      </w:r>
      <w:bookmarkStart w:id="32" w:name="_Toc28359010"/>
      <w:r/>
      <w:bookmarkStart w:id="33" w:name="_Toc28359087"/>
      <w:r>
        <w:rPr>
          <w:rFonts w:hint="eastAsia" w:asciiTheme="minorEastAsia" w:hAnsiTheme="minorEastAsia" w:cstheme="minorEastAsia"/>
          <w:color w:val="auto"/>
          <w:sz w:val="24"/>
          <w:szCs w:val="24"/>
          <w:highlight w:val="none"/>
          <w:lang w:val="en-US" w:eastAsia="zh-CN"/>
        </w:rPr>
        <w:t xml:space="preserve">18914640777</w:t>
      </w:r>
      <w:bookmarkEnd w:id="32"/>
      <w:r/>
      <w:bookmarkEnd w:id="33"/>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Theme="minorEastAsia" w:hAnsiTheme="minorEastAsia" w:eastAsiaTheme="minorEastAsia" w:cstheme="minorEastAsia"/>
          <w:color w:val="auto"/>
          <w:sz w:val="24"/>
          <w:szCs w:val="24"/>
          <w:highlight w:val="none"/>
          <w:lang w:val="en-US" w:eastAsia="zh-CN"/>
        </w:rPr>
        <w:t xml:space="preserve">3.</w:t>
      </w:r>
      <w:bookmarkEnd w:id="34"/>
      <w:r>
        <w:rPr>
          <w:rFonts w:hint="eastAsia" w:asciiTheme="minorEastAsia" w:hAnsiTheme="minorEastAsia" w:eastAsiaTheme="minorEastAsia" w:cstheme="minorEastAsia"/>
          <w:color w:val="auto"/>
          <w:sz w:val="24"/>
          <w:szCs w:val="24"/>
          <w:highlight w:val="none"/>
          <w:lang w:val="en-US" w:eastAsia="zh-CN"/>
        </w:rPr>
        <w:t xml:space="preserve">项目联系方式</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项目联系人：</w:t>
      </w:r>
      <w:r>
        <w:rPr>
          <w:rFonts w:hint="eastAsia" w:asciiTheme="minorEastAsia" w:hAnsiTheme="minorEastAsia" w:cstheme="minorEastAsia"/>
          <w:color w:val="auto"/>
          <w:sz w:val="24"/>
          <w:szCs w:val="24"/>
          <w:highlight w:val="none"/>
          <w:lang w:val="en-US" w:eastAsia="zh-CN"/>
        </w:rPr>
        <w:t xml:space="preserve">周工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18914640777</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numPr>
          <w:ilvl w:val="0"/>
          <w:numId w:val="1"/>
        </w:numPr>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cstheme="minorEastAsia"/>
          <w:color w:val="auto"/>
          <w:sz w:val="24"/>
          <w:szCs w:val="24"/>
          <w:highlight w:val="none"/>
          <w:lang w:val="en-US" w:eastAsia="zh-CN"/>
        </w:rPr>
        <w:t xml:space="preserve">监督人员</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苏警官</w:t>
      </w:r>
      <w:r/>
    </w:p>
    <w:p>
      <w:pPr>
        <w:pStyle w:val="956"/>
        <w:numPr>
          <w:ilvl w:val="0"/>
          <w:numId w:val="0"/>
        </w:numPr>
        <w:ind w:left="560" w:right="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18862016007</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56"/>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20823274"/>
      <w:r/>
      <w:bookmarkStart w:id="38" w:name="_Toc120614213"/>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20823277"/>
      <w:r/>
      <w:bookmarkStart w:id="50" w:name="_Toc16938521"/>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w:t>
      </w:r>
      <w:r/>
    </w:p>
    <w:p>
      <w:pPr>
        <w:ind w:firstLine="480"/>
        <w:spacing w:line="440" w:lineRule="exac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4.3本次招标代理费用由中标单位支付，</w:t>
      </w:r>
      <w:r>
        <w:rPr>
          <w:rFonts w:hint="eastAsia" w:ascii="宋体" w:hAnsi="宋体"/>
          <w:color w:val="auto"/>
          <w:sz w:val="24"/>
          <w:highlight w:val="none"/>
        </w:rPr>
        <w:t xml:space="preserve">招标代理：按照《江苏省政府采购代理服务收费指导意见》(苏政采协【2024】20号)规定标准的</w:t>
      </w:r>
      <w:r>
        <w:rPr>
          <w:rFonts w:hint="eastAsia" w:ascii="宋体" w:hAnsi="宋体"/>
          <w:color w:val="auto"/>
          <w:sz w:val="24"/>
          <w:highlight w:val="none"/>
          <w:u w:val="single"/>
          <w:lang w:val="en-US" w:eastAsia="zh-CN"/>
        </w:rPr>
        <w:t xml:space="preserve">43.5</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。投标人在投标时应将此费用自行考虑在投标报价中，不单列，由中标供应商在领取中标通知书前直接将以上服务费向招标代理公司一次性以现金或转账方式付清。</w:t>
      </w:r>
      <w:r/>
    </w:p>
    <w:p>
      <w:pPr>
        <w:numPr>
          <w:ilvl w:val="0"/>
          <w:numId w:val="2"/>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招标文件的约束力</w:t>
      </w:r>
      <w:r/>
    </w:p>
    <w:p>
      <w:pPr>
        <w:numPr>
          <w:ilvl w:val="0"/>
          <w:numId w:val="0"/>
        </w:numPr>
        <w:ind w:left="479" w:firstLine="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bookmarkStart w:id="59" w:name="_Toc20823281"/>
      <w:r/>
      <w:bookmarkStart w:id="60" w:name="_Toc16938525"/>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bookmarkStart w:id="63" w:name="_Toc16938526"/>
      <w:r/>
      <w:bookmarkStart w:id="64" w:name="_Toc513029210"/>
      <w:r/>
      <w:bookmarkStart w:id="65" w:name="_Toc20823282"/>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bookmarkEnd w:id="63"/>
      <w:r/>
      <w:bookmarkEnd w:id="64"/>
      <w:r/>
      <w:bookmarkEnd w:id="65"/>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numPr>
          <w:ilvl w:val="0"/>
          <w:numId w:val="0"/>
        </w:numPr>
        <w:ind w:left="479" w:firstLine="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462564070"/>
      <w:r/>
      <w:bookmarkStart w:id="67" w:name="_Toc16938527"/>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w:t>
      </w:r>
      <w:r>
        <w:rPr>
          <w:rFonts w:hint="eastAsia" w:ascii="宋体" w:hAnsi="宋体" w:eastAsia="宋体" w:cs="宋体"/>
          <w:b/>
          <w:bCs/>
          <w:color w:val="auto"/>
          <w:sz w:val="24"/>
          <w:szCs w:val="24"/>
          <w:highlight w:val="none"/>
        </w:rPr>
        <w:t xml:space="preserve">应在投标截止期十日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16938528"/>
      <w:r/>
      <w:bookmarkStart w:id="71" w:name="_Toc513029212"/>
      <w:r/>
      <w:bookmarkStart w:id="72" w:name="_Toc462564071"/>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462564072"/>
      <w:r/>
      <w:bookmarkStart w:id="75" w:name="_Toc16938529"/>
      <w:r/>
      <w:bookmarkStart w:id="76" w:name="_Toc513029213"/>
      <w:r/>
      <w:bookmarkStart w:id="77" w:name="_Toc120614216"/>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9.1投标人提交的投标文件以及投标人与采购中心就有关投标的所有来往通知、函件和文件均应使用简体中文。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462564074"/>
      <w:r/>
      <w:bookmarkStart w:id="84" w:name="_Toc20823287"/>
      <w:r/>
      <w:bookmarkStart w:id="85" w:name="_Toc16938531"/>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49090507"/>
      <w:r/>
      <w:bookmarkStart w:id="88" w:name="_Toc14577355"/>
      <w:r/>
      <w:bookmarkStart w:id="89" w:name="_Toc49090508"/>
      <w:r/>
      <w:bookmarkStart w:id="90" w:name="_Toc513029216"/>
      <w:r/>
      <w:bookmarkStart w:id="91" w:name="_Toc14577357"/>
      <w:r/>
      <w:bookmarkStart w:id="92" w:name="_Toc14577354"/>
      <w:r/>
      <w:bookmarkStart w:id="93" w:name="_Toc513029219"/>
      <w:r/>
      <w:bookmarkStart w:id="94" w:name="_Toc49090509"/>
      <w:r/>
      <w:bookmarkStart w:id="95" w:name="_Hlt26954838"/>
      <w:r/>
      <w:bookmarkStart w:id="96" w:name="_Hlt26668975"/>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98" w:name="_Hlt26670486"/>
      <w:r/>
      <w:bookmarkStart w:id="99" w:name="_Hlt26954846"/>
      <w:r/>
      <w:bookmarkStart w:id="100" w:name="_Hlt26670482"/>
      <w:r/>
      <w:bookmarkStart w:id="101" w:name="_Hlt26954848"/>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20614217"/>
      <w:r/>
      <w:bookmarkStart w:id="108" w:name="_Toc513029224"/>
      <w:r/>
      <w:bookmarkStart w:id="109" w:name="_Toc16938540"/>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13" w:name="_Toc16938541"/>
      <w:r/>
      <w:bookmarkStart w:id="114" w:name="_Toc462564084"/>
      <w:r/>
      <w:bookmarkStart w:id="115" w:name="_Toc513029225"/>
      <w:r/>
      <w:bookmarkStart w:id="116" w:name="_Toc20823297"/>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bookmarkStart w:id="120" w:name="_Toc20823299"/>
      <w:r/>
      <w:bookmarkStart w:id="121" w:name="_Toc16938543"/>
      <w:r/>
      <w:bookmarkStart w:id="122" w:name="_Toc51302922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bookmarkStart w:id="123" w:name="_Toc16938544"/>
      <w:r/>
      <w:bookmarkStart w:id="124" w:name="_Toc20823300"/>
      <w:r/>
      <w:bookmarkStart w:id="125" w:name="_Toc51302922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9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bookmarkStart w:id="221" w:name="_GoBack"/>
      <w:r/>
      <w:bookmarkEnd w:id="221"/>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22.1采购中心将在招标公告中规定的时间和地点组织公开开标。投标人应当按照《操作手册》规定，参加开标活动和在苏采云系统规定的时间内对投标文件进行解密。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3" w:name="_Toc16938547"/>
      <w:r/>
      <w:bookmarkStart w:id="134" w:name="_Toc20823303"/>
      <w:r/>
      <w:bookmarkStart w:id="135" w:name="_Toc513029231"/>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24.3采购中心和评标委员会不向未中标的投标人解释未中标原因，也不公布评标过程中的相关细节。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bookmarkStart w:id="136" w:name="_Toc16938548"/>
      <w:r/>
      <w:bookmarkStart w:id="137" w:name="_Toc20823304"/>
      <w:r/>
      <w:bookmarkStart w:id="138" w:name="_Toc5130292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20823306"/>
      <w:r/>
      <w:bookmarkStart w:id="143" w:name="_Toc16938550"/>
      <w:r/>
      <w:bookmarkStart w:id="144"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28.3采购中心将在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发布中标公告，公告期限为1个工作日。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受理处，联系地址：盐城市府西路1号市公共资源交易中心522，联系电话：0515-86665052。</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56"/>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20823308"/>
      <w:r/>
      <w:bookmarkStart w:id="154" w:name="_Toc120614220"/>
      <w:r/>
      <w:bookmarkStart w:id="155" w:name="_Toc16938552"/>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7" w:name="_Toc16938553"/>
      <w:r/>
      <w:bookmarkStart w:id="158" w:name="_Toc20823309"/>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szCs w:val="24"/>
          <w:highlight w:val="none"/>
        </w:rPr>
        <w:t xml:space="preserve">，</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64"/>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val="en-US" w:eastAsia="zh-CN" w:bidi="ar-SA"/>
        </w:rPr>
      </w:r>
      <w:r/>
    </w:p>
    <w:p>
      <w:pPr>
        <w:pStyle w:val="9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jc w:val="center"/>
        <w:spacing w:line="360" w:lineRule="auto"/>
        <w:widowControl/>
        <w:rPr>
          <w:rFonts w:hint="eastAsia" w:eastAsiaTheme="minorEastAsia"/>
          <w:color w:val="auto"/>
          <w:sz w:val="36"/>
          <w:szCs w:val="44"/>
          <w:highlight w:val="none"/>
          <w:lang w:eastAsia="zh-CN"/>
        </w:rPr>
      </w:pPr>
      <w:r/>
      <w:bookmarkStart w:id="160" w:name="_Toc479757211"/>
      <w:r/>
      <w:bookmarkStart w:id="161" w:name="_Toc462564139"/>
      <w:r/>
      <w:bookmarkStart w:id="162" w:name="_Toc120614244"/>
      <w:r/>
      <w:bookmarkStart w:id="163" w:name="_Toc16938590"/>
      <w:r/>
      <w:bookmarkStart w:id="164" w:name="_Hlt16619350"/>
      <w:r/>
      <w:bookmarkStart w:id="165" w:name="_Toc20823346"/>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3"/>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包一合同条款：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bookmarkStart w:id="167" w:name="_Toc10523"/>
      <w:r/>
      <w:bookmarkStart w:id="168" w:name="_Toc22903"/>
      <w:r>
        <w:rPr>
          <w:rFonts w:hint="eastAsia" w:ascii="宋体" w:hAnsi="宋体" w:eastAsia="宋体" w:cs="宋体"/>
          <w:b/>
          <w:color w:val="auto"/>
          <w:sz w:val="24"/>
          <w:highlight w:val="none"/>
        </w:rPr>
        <w:t xml:space="preserve">一、货物内容</w:t>
      </w:r>
      <w:bookmarkEnd w:id="167"/>
      <w:r/>
      <w:bookmarkEnd w:id="168"/>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主要包含前端设备等相关设备及配件的供货、安装、调试、验收、技术培训、维保、售前、售后等相关伴随服务，具体要求详见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bookmarkStart w:id="169" w:name="_Toc26546"/>
      <w:r/>
      <w:bookmarkStart w:id="170" w:name="_Toc28243"/>
      <w:r>
        <w:rPr>
          <w:rFonts w:hint="eastAsia" w:ascii="宋体" w:hAnsi="宋体" w:eastAsia="宋体" w:cs="宋体"/>
          <w:b/>
          <w:color w:val="auto"/>
          <w:sz w:val="24"/>
          <w:highlight w:val="none"/>
        </w:rPr>
        <w:t xml:space="preserve">二、合同金额</w:t>
      </w:r>
      <w:bookmarkEnd w:id="169"/>
      <w:r/>
      <w:bookmarkEnd w:id="170"/>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bookmarkStart w:id="171" w:name="_Toc26109"/>
      <w:r/>
      <w:bookmarkStart w:id="172" w:name="_Toc32000"/>
      <w:r>
        <w:rPr>
          <w:rFonts w:hint="eastAsia" w:ascii="宋体" w:hAnsi="宋体" w:eastAsia="宋体" w:cs="宋体"/>
          <w:b/>
          <w:color w:val="auto"/>
          <w:sz w:val="24"/>
          <w:highlight w:val="none"/>
        </w:rPr>
        <w:t xml:space="preserve">三、技术资料</w:t>
      </w:r>
      <w:bookmarkEnd w:id="171"/>
      <w:r/>
      <w:bookmarkEnd w:id="17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bookmarkStart w:id="173" w:name="_Toc2217"/>
      <w:r/>
      <w:bookmarkStart w:id="174" w:name="_Toc12568"/>
      <w:r>
        <w:rPr>
          <w:rFonts w:hint="eastAsia" w:ascii="宋体" w:hAnsi="宋体" w:eastAsia="宋体" w:cs="宋体"/>
          <w:b/>
          <w:color w:val="auto"/>
          <w:sz w:val="24"/>
          <w:highlight w:val="none"/>
        </w:rPr>
        <w:t xml:space="preserve">四、知识产权</w:t>
      </w:r>
      <w:bookmarkEnd w:id="173"/>
      <w:r/>
      <w:bookmarkEnd w:id="174"/>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bookmarkStart w:id="175" w:name="_Toc1675"/>
      <w:r/>
      <w:bookmarkStart w:id="176" w:name="_Toc31486"/>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bookmarkEnd w:id="175"/>
      <w:r/>
      <w:bookmarkEnd w:id="176"/>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bookmarkStart w:id="177" w:name="_Toc4738"/>
      <w:r/>
      <w:bookmarkStart w:id="178" w:name="_Toc25624"/>
      <w:r>
        <w:rPr>
          <w:rFonts w:hint="eastAsia" w:ascii="宋体" w:hAnsi="宋体" w:eastAsia="宋体" w:cs="宋体"/>
          <w:b/>
          <w:color w:val="auto"/>
          <w:sz w:val="24"/>
          <w:highlight w:val="none"/>
        </w:rPr>
        <w:t xml:space="preserve">六、履约保证金</w:t>
      </w:r>
      <w:bookmarkEnd w:id="177"/>
      <w:r/>
      <w:bookmarkEnd w:id="178"/>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bookmarkStart w:id="179" w:name="_Toc15133"/>
      <w:r/>
      <w:bookmarkStart w:id="180" w:name="_Toc25913"/>
      <w:r>
        <w:rPr>
          <w:rFonts w:hint="eastAsia" w:ascii="宋体" w:hAnsi="宋体" w:eastAsia="宋体" w:cs="宋体"/>
          <w:b/>
          <w:color w:val="auto"/>
          <w:sz w:val="24"/>
          <w:highlight w:val="none"/>
        </w:rPr>
        <w:t xml:space="preserve">七、转包或分包</w:t>
      </w:r>
      <w:bookmarkEnd w:id="179"/>
      <w:r/>
      <w:bookmarkEnd w:id="18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bookmarkStart w:id="181" w:name="_Toc13032"/>
      <w:r/>
      <w:bookmarkStart w:id="182" w:name="_Toc2822"/>
      <w:r>
        <w:rPr>
          <w:rFonts w:hint="eastAsia" w:ascii="宋体" w:hAnsi="宋体" w:eastAsia="宋体" w:cs="宋体"/>
          <w:b/>
          <w:color w:val="auto"/>
          <w:sz w:val="24"/>
          <w:highlight w:val="none"/>
        </w:rPr>
        <w:t xml:space="preserve">八、</w:t>
      </w:r>
      <w:bookmarkEnd w:id="181"/>
      <w:r/>
      <w:bookmarkEnd w:id="182"/>
      <w:r>
        <w:rPr>
          <w:rFonts w:hint="eastAsia" w:ascii="宋体" w:hAnsi="宋体" w:eastAsia="宋体" w:cs="宋体"/>
          <w:b/>
          <w:color w:val="auto"/>
          <w:sz w:val="24"/>
          <w:highlight w:val="none"/>
        </w:rPr>
        <w:t xml:space="preserve">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bookmarkStart w:id="183" w:name="_Toc15184"/>
      <w:r/>
      <w:bookmarkStart w:id="184" w:name="_Toc14479"/>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bookmarkEnd w:id="183"/>
      <w:r/>
      <w:bookmarkEnd w:id="184"/>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工期90日历天内必须完成供货并安装、调试并满足试运行要求。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bookmarkStart w:id="185" w:name="_Toc17303"/>
      <w:r/>
      <w:bookmarkStart w:id="186" w:name="_Toc17645"/>
      <w:r>
        <w:rPr>
          <w:rFonts w:hint="eastAsia" w:ascii="宋体" w:hAnsi="宋体" w:eastAsia="宋体" w:cs="宋体"/>
          <w:b/>
          <w:color w:val="auto"/>
          <w:sz w:val="24"/>
          <w:highlight w:val="none"/>
        </w:rPr>
        <w:t xml:space="preserve">十、服务费支付</w:t>
      </w:r>
      <w:bookmarkEnd w:id="185"/>
      <w:r>
        <w:rPr>
          <w:rFonts w:hint="eastAsia" w:ascii="宋体" w:hAnsi="宋体" w:eastAsia="宋体" w:cs="宋体"/>
          <w:b/>
          <w:color w:val="auto"/>
          <w:sz w:val="24"/>
          <w:highlight w:val="none"/>
        </w:rPr>
        <w:t xml:space="preserve">及结算</w:t>
      </w:r>
      <w:bookmarkEnd w:id="186"/>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bookmarkStart w:id="187" w:name="_Toc25925"/>
      <w:r/>
      <w:bookmarkStart w:id="188" w:name="_Toc6666"/>
      <w:r>
        <w:rPr>
          <w:rFonts w:hint="eastAsia" w:ascii="宋体" w:hAnsi="宋体" w:eastAsia="宋体" w:cs="宋体"/>
          <w:b/>
          <w:color w:val="auto"/>
          <w:sz w:val="24"/>
          <w:highlight w:val="none"/>
        </w:rPr>
        <w:t xml:space="preserve">十一、税费</w:t>
      </w:r>
      <w:bookmarkEnd w:id="187"/>
      <w:r/>
      <w:bookmarkEnd w:id="1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bookmarkStart w:id="189" w:name="_Toc32475"/>
      <w:r/>
      <w:bookmarkStart w:id="190" w:name="_Toc30086"/>
      <w:r>
        <w:rPr>
          <w:rFonts w:hint="eastAsia" w:ascii="宋体" w:hAnsi="宋体" w:eastAsia="宋体" w:cs="宋体"/>
          <w:b/>
          <w:color w:val="auto"/>
          <w:sz w:val="24"/>
          <w:highlight w:val="none"/>
        </w:rPr>
        <w:t xml:space="preserve">十二、质量保证及售后服务</w:t>
      </w:r>
      <w:bookmarkEnd w:id="189"/>
      <w:r/>
      <w:bookmarkEnd w:id="19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1" w:name="_Toc137"/>
      <w:r/>
      <w:bookmarkStart w:id="192" w:name="_Toc8549"/>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bookmarkEnd w:id="191"/>
      <w:r/>
      <w:bookmarkEnd w:id="19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3" w:name="_Hlk195779991"/>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93"/>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签订日期：                            签订日期：</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br w:type="page" w:clear="all"/>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包二合同条款：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一、货物内容</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主要包含后端存储等相关设备及配件的供货、安装、调试、验收、技术培训、维保、售前、售后等相关伴随服务，具体要求详见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二、合同金额</w:t>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四、知识产权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4.2定制软件研发成果，其知识产权全部归甲方所有。</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八、质保期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工期60日历天内必须完成供货并安装、调试并满足试运行要求。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十、服务费支付及结算</w:t>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十一、税费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十二、质量保证及售后服务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系统所有软件功能、智能算法、联动机制、数据统计等全部满足招标文件、投标文件及合同约定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所有前端点位在线率和合格率达98%，后台录像存储有效率达100%，软件应用全部符合招标需求</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16.1</w:t>
      </w: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ind w:left="0" w:right="0" w:firstLine="480"/>
        <w:keepLines w:val="0"/>
        <w:keepNext w:val="0"/>
        <w:pageBreakBefore w:val="0"/>
        <w:spacing w:line="500" w:lineRule="exact"/>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16.2运维人员考核：</w:t>
      </w:r>
      <w:r>
        <w:rPr>
          <w:rFonts w:hint="eastAsia" w:asciiTheme="minorEastAsia" w:hAnsiTheme="minorEastAsia" w:eastAsiaTheme="minorEastAsia" w:cstheme="minorEastAsia"/>
          <w:color w:val="auto"/>
          <w:sz w:val="24"/>
          <w:szCs w:val="24"/>
          <w:highlight w:val="none"/>
        </w:rPr>
        <w:t xml:space="preserve">在岗专职人员数量不足3人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每缺少1人当月扣6000元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人员跨项目兼职查实</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单人单次扣10000元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且须在</w:t>
      </w:r>
      <w:r>
        <w:rPr>
          <w:rFonts w:hint="eastAsia" w:asciiTheme="minorEastAsia" w:hAnsiTheme="minorEastAsia" w:eastAsiaTheme="minorEastAsia" w:cstheme="minorEastAsia"/>
          <w:color w:val="auto"/>
          <w:sz w:val="24"/>
          <w:szCs w:val="24"/>
          <w:highlight w:val="none"/>
        </w:rPr>
        <w:t xml:space="preserve">24小时内更换合格人员；同一人员二次兼职追加扣</w:t>
      </w:r>
      <w:r>
        <w:rPr>
          <w:rFonts w:hint="eastAsia" w:asciiTheme="minorEastAsia" w:hAnsi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核心人员无甲方书面许可私自替换</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无故缺勤、脱岗、未报备离岗</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单日扣500元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消极抵触甲方合理工作安排</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首次书面警告不扣款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二次扣3000元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三次扣8000元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上述人员考核扣款</w:t>
      </w:r>
      <w:r>
        <w:rPr>
          <w:rFonts w:hint="eastAsia" w:asciiTheme="minorEastAsia" w:hAnsiTheme="minorEastAsia" w:eastAsiaTheme="minorEastAsia" w:cstheme="minorEastAsia"/>
          <w:color w:val="auto"/>
          <w:sz w:val="24"/>
          <w:szCs w:val="24"/>
          <w:highlight w:val="none"/>
        </w:rPr>
        <w:t xml:space="preserve">判定依据以</w:t>
      </w:r>
      <w:r>
        <w:rPr>
          <w:rFonts w:hint="eastAsia" w:asciiTheme="minorEastAsia" w:hAnsiTheme="minorEastAsia" w:cstheme="minorEastAsia"/>
          <w:color w:val="auto"/>
          <w:sz w:val="24"/>
          <w:szCs w:val="24"/>
          <w:highlight w:val="none"/>
          <w:lang w:val="en-US" w:eastAsia="zh-CN"/>
        </w:rPr>
        <w:t xml:space="preserve">甲方考勤记录及</w:t>
      </w:r>
      <w:r>
        <w:rPr>
          <w:rFonts w:hint="eastAsia" w:asciiTheme="minorEastAsia" w:hAnsiTheme="minorEastAsia" w:eastAsiaTheme="minorEastAsia" w:cstheme="minorEastAsia"/>
          <w:color w:val="auto"/>
          <w:sz w:val="24"/>
          <w:szCs w:val="24"/>
          <w:highlight w:val="none"/>
        </w:rPr>
        <w:t xml:space="preserve">工作联系单为准</w:t>
      </w:r>
      <w:r>
        <w:rPr>
          <w:rFonts w:hint="eastAsia" w:asciiTheme="minorEastAsia" w:hAnsiTheme="minorEastAsia" w:cstheme="minorEastAsia"/>
          <w:color w:val="auto"/>
          <w:sz w:val="24"/>
          <w:szCs w:val="24"/>
          <w:highlight w:val="none"/>
          <w:lang w:eastAsia="zh-CN"/>
        </w:rPr>
        <w:t xml:space="preserve">。</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ascii="宋体" w:hAnsi="宋体" w:eastAsia="宋体" w:cs="Courier New"/>
          <w:color w:val="auto"/>
          <w:sz w:val="24"/>
          <w:szCs w:val="24"/>
          <w:highlight w:val="none"/>
          <w:lang w:val="en-US" w:eastAsia="zh-CN"/>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包一</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44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bookmarkStart w:id="194" w:name="_Toc120614281"/>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包一850.00万元</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最高限价：包一</w:t>
      </w:r>
      <w:r>
        <w:rPr>
          <w:rFonts w:hint="eastAsia" w:ascii="宋体" w:hAnsi="宋体" w:eastAsia="宋体" w:cs="宋体"/>
          <w:color w:val="auto"/>
          <w:sz w:val="24"/>
          <w:szCs w:val="24"/>
          <w:highlight w:val="none"/>
          <w:lang w:val="en-US" w:eastAsia="zh-CN"/>
        </w:rPr>
        <w:t xml:space="preserve">838.0860</w:t>
      </w:r>
      <w:r>
        <w:rPr>
          <w:rFonts w:hint="eastAsia" w:asciiTheme="minorEastAsia" w:hAnsiTheme="minorEastAsia" w:eastAsiaTheme="minorEastAsia" w:cstheme="minorEastAsia"/>
          <w:color w:val="auto"/>
          <w:sz w:val="24"/>
          <w:szCs w:val="24"/>
          <w:highlight w:val="none"/>
          <w:lang w:val="en-US" w:eastAsia="zh-CN"/>
        </w:rPr>
        <w:t xml:space="preserve">万元</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u w:val="none"/>
          <w:lang w:val="en-US" w:eastAsia="zh-CN"/>
        </w:rPr>
        <w:t xml:space="preserve">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6、本项目为非单一产品采购项目，包一采购标的中的核心产品为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双目</w:t>
      </w:r>
      <w:r>
        <w:rPr>
          <w:rFonts w:hint="eastAsia" w:asciiTheme="minorEastAsia" w:hAnsiTheme="minorEastAsia" w:cstheme="minorEastAsia"/>
          <w:bCs/>
          <w:color w:val="auto"/>
          <w:sz w:val="24"/>
          <w:szCs w:val="24"/>
          <w:highlight w:val="none"/>
          <w:u w:val="single"/>
          <w:lang w:val="en-US" w:eastAsia="zh-CN"/>
        </w:rPr>
        <w:t xml:space="preserve">双向</w:t>
      </w:r>
      <w:r>
        <w:rPr>
          <w:rFonts w:hint="eastAsia" w:asciiTheme="minorEastAsia" w:hAnsiTheme="minorEastAsia" w:eastAsiaTheme="minorEastAsia" w:cstheme="minorEastAsia"/>
          <w:bCs/>
          <w:color w:val="auto"/>
          <w:sz w:val="24"/>
          <w:szCs w:val="24"/>
          <w:highlight w:val="none"/>
          <w:u w:val="single"/>
          <w:lang w:val="en-US" w:eastAsia="zh-CN"/>
        </w:rPr>
        <w:t xml:space="preserve">结构化相机</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中标后不得以未踏勘现场或踏勘现场不细致而消极怠工或要求增加费用。投标人的现场踏勘行为有任何责任须自行承担，不得因此使采购人承担有关的责任和蒙受损失。</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color w:val="auto"/>
          <w:sz w:val="24"/>
          <w:szCs w:val="24"/>
          <w:highlight w:val="none"/>
          <w:lang w:val="en-US" w:eastAsia="zh-CN"/>
        </w:rPr>
        <w:t xml:space="preserve">。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六、样品评测</w:t>
      </w:r>
      <w:r/>
    </w:p>
    <w:p>
      <w:p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本项目投标过程中要求</w:t>
      </w:r>
      <w:r>
        <w:rPr>
          <w:rFonts w:hint="eastAsia" w:asciiTheme="minorEastAsia" w:hAnsiTheme="minorEastAsia" w:eastAsiaTheme="minorEastAsia" w:cstheme="minorEastAsia"/>
          <w:b w:val="0"/>
          <w:bCs/>
          <w:color w:val="auto"/>
          <w:sz w:val="24"/>
          <w:szCs w:val="24"/>
          <w:highlight w:val="none"/>
        </w:rPr>
        <w:t xml:space="preserve">投标人根据招标文件设备技术要求，提供所投</w:t>
      </w:r>
      <w:r>
        <w:rPr>
          <w:rFonts w:hint="eastAsia" w:asciiTheme="minorEastAsia" w:hAnsiTheme="minorEastAsia" w:eastAsiaTheme="minorEastAsia" w:cstheme="minorEastAsia"/>
          <w:b w:val="0"/>
          <w:bCs/>
          <w:color w:val="auto"/>
          <w:sz w:val="24"/>
          <w:szCs w:val="24"/>
          <w:highlight w:val="none"/>
          <w:lang w:val="en-US" w:eastAsia="zh-CN"/>
        </w:rPr>
        <w:t xml:space="preserve">核心</w:t>
      </w:r>
      <w:r>
        <w:rPr>
          <w:rFonts w:hint="eastAsia" w:asciiTheme="minorEastAsia" w:hAnsiTheme="minorEastAsia" w:eastAsiaTheme="minorEastAsia" w:cstheme="minorEastAsia"/>
          <w:b w:val="0"/>
          <w:bCs/>
          <w:color w:val="auto"/>
          <w:sz w:val="24"/>
          <w:szCs w:val="24"/>
          <w:highlight w:val="none"/>
        </w:rPr>
        <w:t xml:space="preserve">产品设备样机（</w:t>
      </w:r>
      <w:r>
        <w:rPr>
          <w:rFonts w:hint="eastAsia" w:asciiTheme="minorEastAsia" w:hAnsiTheme="minorEastAsia" w:cstheme="minorEastAsia"/>
          <w:b w:val="0"/>
          <w:bCs/>
          <w:color w:val="auto"/>
          <w:sz w:val="24"/>
          <w:szCs w:val="24"/>
          <w:highlight w:val="none"/>
          <w:lang w:eastAsia="zh-CN"/>
        </w:rPr>
        <w:t xml:space="preserve">双目双向结构化相机</w:t>
      </w:r>
      <w:r>
        <w:rPr>
          <w:rFonts w:hint="eastAsia" w:asciiTheme="minorEastAsia" w:hAnsiTheme="minorEastAsia" w:eastAsiaTheme="minorEastAsia" w:cstheme="minorEastAsia"/>
          <w:b w:val="0"/>
          <w:bCs/>
          <w:color w:val="auto"/>
          <w:sz w:val="24"/>
          <w:szCs w:val="24"/>
          <w:highlight w:val="none"/>
        </w:rPr>
        <w:t xml:space="preserve">）进行测试，样机提供一台</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测试内容如下</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视频质量测试：评测视频清晰度，分辨率，观察人脸特征、车辆号牌及外部特征等，可放大3-5倍查看实际效果等进行辅助测试；视频质量评测，不存在明显跳帧，黑屏、白屏、画面缺失、偏色、逆光过爆、拖影等问题</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视频质量测试</w:t>
      </w:r>
      <w:r>
        <w:rPr>
          <w:rFonts w:hint="eastAsia" w:asciiTheme="minorEastAsia" w:hAnsiTheme="minorEastAsia" w:cstheme="minorEastAsia"/>
          <w:b w:val="0"/>
          <w:bCs w:val="0"/>
          <w:color w:val="auto"/>
          <w:sz w:val="24"/>
          <w:szCs w:val="24"/>
          <w:highlight w:val="none"/>
          <w:lang w:val="en-US" w:eastAsia="zh-CN"/>
        </w:rPr>
        <w:t xml:space="preserve">正常</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录像质量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评测视频录像的稳定性，是否存在录像丢失</w:t>
      </w:r>
      <w:r>
        <w:rPr>
          <w:rFonts w:hint="eastAsia" w:asciiTheme="minorEastAsia" w:hAnsiTheme="minorEastAsia" w:eastAsiaTheme="minorEastAsia" w:cstheme="minorEastAsia"/>
          <w:b w:val="0"/>
          <w:bCs w:val="0"/>
          <w:color w:val="auto"/>
          <w:sz w:val="24"/>
          <w:szCs w:val="24"/>
          <w:highlight w:val="none"/>
          <w:lang w:val="en-US" w:eastAsia="zh-CN"/>
        </w:rPr>
        <w:t xml:space="preserve">。录像质量测试</w:t>
      </w:r>
      <w:r>
        <w:rPr>
          <w:rFonts w:hint="eastAsia" w:asciiTheme="minorEastAsia" w:hAnsiTheme="minorEastAsia" w:cstheme="minorEastAsia"/>
          <w:b w:val="0"/>
          <w:bCs w:val="0"/>
          <w:color w:val="auto"/>
          <w:sz w:val="24"/>
          <w:szCs w:val="24"/>
          <w:highlight w:val="none"/>
          <w:lang w:val="en-US" w:eastAsia="zh-CN"/>
        </w:rPr>
        <w:t xml:space="preserve">稳定</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抓拍数量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通过视频联网平台，分人脸、人体、机动车、非机动车、人车关联同拍测试期间内抓拍总量。</w:t>
      </w:r>
      <w:r>
        <w:rPr>
          <w:rFonts w:hint="eastAsia" w:asciiTheme="minorEastAsia" w:hAnsiTheme="minorEastAsia" w:eastAsiaTheme="minorEastAsia" w:cstheme="minorEastAsia"/>
          <w:b w:val="0"/>
          <w:bCs w:val="0"/>
          <w:color w:val="auto"/>
          <w:sz w:val="24"/>
          <w:szCs w:val="24"/>
          <w:highlight w:val="none"/>
          <w:lang w:val="en-US" w:eastAsia="zh-CN"/>
        </w:rPr>
        <w:t xml:space="preserve">拍数量多的优先。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抓拍质量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人像图片低质量评测（运维平台人像图片低质量测试），人像图片解析质量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低质量图片数最低者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b w:val="0"/>
          <w:bCs w:val="0"/>
          <w:color w:val="auto"/>
          <w:sz w:val="24"/>
          <w:szCs w:val="24"/>
          <w:highlight w:val="none"/>
        </w:rPr>
        <w:t xml:space="preserve">特殊场景抓拍压力测试</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在人员通行集中区域或模拟人员集中快速通过，测试实际抓拍人数（以解析平台数据为准）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提供解析平台可置信图片数</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可置信图片最多者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七、综合实力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本项目对供应商的综合管理能力提出了较高要求。供应商是否建立并有效运行规范的管理体系，直接影响项目实施的规范性、稳定性和可持续性。供应商具有有效且通过年</w:t>
      </w:r>
      <w:r>
        <w:rPr>
          <w:rFonts w:hint="eastAsia" w:asciiTheme="minorEastAsia" w:hAnsiTheme="minorEastAsia" w:eastAsiaTheme="minorEastAsia" w:cstheme="minorEastAsia"/>
          <w:b w:val="0"/>
          <w:bCs w:val="0"/>
          <w:color w:val="auto"/>
          <w:sz w:val="24"/>
          <w:szCs w:val="24"/>
          <w:highlight w:val="none"/>
          <w:lang w:val="en-US" w:eastAsia="zh-CN"/>
        </w:rPr>
        <w:t xml:space="preserve">检的质量管理体系认证证书、环境管理体系认证证书、职业健康安全管理体系认证证书、信息安全管理体系认证证书、信息技术服务管理体系认证证书的优先。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八、服务方案要求</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lang w:val="en-US" w:eastAsia="zh-CN"/>
        </w:rPr>
        <w:t xml:space="preserve">项目施工方案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根据投标人对本项目的充分理解，提供</w:t>
      </w:r>
      <w:r>
        <w:rPr>
          <w:rFonts w:hint="eastAsia" w:asciiTheme="minorEastAsia" w:hAnsiTheme="minorEastAsia" w:eastAsiaTheme="minorEastAsia" w:cstheme="minorEastAsia"/>
          <w:color w:val="auto"/>
          <w:sz w:val="24"/>
          <w:szCs w:val="24"/>
          <w:highlight w:val="none"/>
          <w:lang w:val="en-US" w:eastAsia="zh-CN"/>
        </w:rPr>
        <w:t xml:space="preserve">本项目的</w:t>
      </w:r>
      <w:r>
        <w:rPr>
          <w:rFonts w:hint="eastAsia" w:asciiTheme="minorEastAsia" w:hAnsiTheme="minorEastAsia" w:eastAsiaTheme="minorEastAsia" w:cstheme="minorEastAsia"/>
          <w:color w:val="auto"/>
          <w:sz w:val="24"/>
          <w:szCs w:val="24"/>
          <w:highlight w:val="none"/>
        </w:rPr>
        <w:t xml:space="preserve">实施方案，包括：实施整体方案、进度控制方案、质量保障方案、安全管理方案等。</w:t>
      </w:r>
      <w:r/>
    </w:p>
    <w:p>
      <w:pPr>
        <w:pStyle w:val="973"/>
        <w:numPr>
          <w:ilvl w:val="0"/>
          <w:numId w:val="0"/>
        </w:numPr>
        <w:contextualSpacing w:val="0"/>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项目实施整体方案：投标单位根据项目需求，结合本项目实际业务的应用，对本项目建设的设备系统的接入功能进行实施方案说明。方案中应对（1）项目整体目标及安排；（2）具体实施计划及设备安装的位置分析；（3）接入调试方案；（4）实施方案整体架构及功能实现进行逐一说明，且方案中须提供功能方案描述说明。</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、供货方案包括：（1）供货计划；（2）供货流程；（3）供货措施；（4）货物的验收等。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进度控制方案，包括：（1）进度计划总体说明，计划进度目标等；（2）项目总进度计划表（图）、实施日期及里程碑节点等；（3）现场进度控制制度及控制规范；（4）进度控制目标体系，明确项目进度控制人员及其职责分工。</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4、质量保障方案：包括：（1）施工质量方案中需提供对此次安装步骤；（2）安装流程；（3）设备调试所涉及的系统说明；（4）实施重点难点及对施工中可能出现的质量问题是否有相应的应对方法等。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安全管理方案：包括（1）施工现场应急救援领导组；（2）领导组职责和成员分工；（3）安全生产事故应急救援程序以及流程图；（4）信号规定、安全生产应急事项等、安全人员名单及联系方式等信息。</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安装调试方案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投标人根据招标文件的要求提供具体详实的安装调试方案。包括但不限于：（1）安装调试计划（安装调试手册、安装调试进度安排）；（2）安装步骤、注意事项；（3）调试内容、保障措施；（4）影响关键工序、关键设备的分析及相应解决措施；（5）现场环境调查及现场勘查说明。</w:t>
      </w:r>
      <w:r/>
    </w:p>
    <w:p>
      <w:pPr>
        <w:numPr>
          <w:ilvl w:val="0"/>
          <w:numId w:val="0"/>
        </w:num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rPr>
        <w:t xml:space="preserve">服务保障方案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服务保障方案：包括：（1）服务的响应时间以及响应及时性保障措施；（2）</w:t>
      </w:r>
      <w:r>
        <w:rPr>
          <w:rFonts w:hint="eastAsia" w:asciiTheme="minorEastAsia" w:hAnsiTheme="minorEastAsia" w:eastAsiaTheme="minorEastAsia" w:cstheme="minorEastAsia"/>
          <w:b w:val="0"/>
          <w:bCs w:val="0"/>
          <w:color w:val="auto"/>
          <w:sz w:val="24"/>
          <w:szCs w:val="24"/>
          <w:highlight w:val="none"/>
          <w:lang w:val="zh-CN"/>
        </w:rPr>
        <w:t xml:space="preserve">解决问题的能力；（</w:t>
      </w:r>
      <w:r>
        <w:rPr>
          <w:rFonts w:hint="eastAsia" w:asciiTheme="minorEastAsia" w:hAnsiTheme="minorEastAsia" w:eastAsiaTheme="minorEastAsia" w:cstheme="minorEastAsia"/>
          <w:b w:val="0"/>
          <w:bCs w:val="0"/>
          <w:color w:val="auto"/>
          <w:sz w:val="24"/>
          <w:szCs w:val="24"/>
          <w:highlight w:val="none"/>
        </w:rPr>
        <w:t xml:space="preserve">3）</w:t>
      </w:r>
      <w:r>
        <w:rPr>
          <w:rFonts w:hint="eastAsia" w:asciiTheme="minorEastAsia" w:hAnsiTheme="minorEastAsia" w:eastAsiaTheme="minorEastAsia" w:cstheme="minorEastAsia"/>
          <w:b w:val="0"/>
          <w:bCs w:val="0"/>
          <w:color w:val="auto"/>
          <w:sz w:val="24"/>
          <w:szCs w:val="24"/>
          <w:highlight w:val="none"/>
          <w:lang w:val="zh-CN"/>
        </w:rPr>
        <w:t xml:space="preserve">紧急处理预案；（</w:t>
      </w:r>
      <w:r>
        <w:rPr>
          <w:rFonts w:hint="eastAsia" w:asciiTheme="minorEastAsia" w:hAnsiTheme="minorEastAsia" w:eastAsiaTheme="minorEastAsia" w:cstheme="minorEastAsia"/>
          <w:b w:val="0"/>
          <w:bCs w:val="0"/>
          <w:color w:val="auto"/>
          <w:sz w:val="24"/>
          <w:szCs w:val="24"/>
          <w:highlight w:val="none"/>
        </w:rPr>
        <w:t xml:space="preserve">4）故障处理流程；（5）重点</w:t>
      </w:r>
      <w:r>
        <w:rPr>
          <w:rFonts w:hint="eastAsia" w:asciiTheme="minorEastAsia" w:hAnsiTheme="minorEastAsia" w:eastAsiaTheme="minorEastAsia" w:cstheme="minorEastAsia"/>
          <w:b w:val="0"/>
          <w:bCs w:val="0"/>
          <w:color w:val="auto"/>
          <w:sz w:val="24"/>
          <w:szCs w:val="24"/>
          <w:highlight w:val="none"/>
          <w:lang w:val="en-US" w:eastAsia="zh-CN"/>
        </w:rPr>
        <w:t xml:space="preserve">点位</w:t>
      </w:r>
      <w:r>
        <w:rPr>
          <w:rFonts w:hint="eastAsia" w:asciiTheme="minorEastAsia" w:hAnsiTheme="minorEastAsia" w:eastAsiaTheme="minorEastAsia" w:cstheme="minorEastAsia"/>
          <w:b w:val="0"/>
          <w:bCs w:val="0"/>
          <w:color w:val="auto"/>
          <w:sz w:val="24"/>
          <w:szCs w:val="24"/>
          <w:highlight w:val="none"/>
        </w:rPr>
        <w:t xml:space="preserve">故障的特殊处理流程</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作业注意点及</w:t>
      </w:r>
      <w:r>
        <w:rPr>
          <w:rFonts w:hint="eastAsia" w:asciiTheme="minorEastAsia" w:hAnsiTheme="minorEastAsia" w:eastAsiaTheme="minorEastAsia" w:cstheme="minorEastAsia"/>
          <w:b w:val="0"/>
          <w:bCs w:val="0"/>
          <w:color w:val="auto"/>
          <w:sz w:val="24"/>
          <w:szCs w:val="24"/>
          <w:highlight w:val="none"/>
          <w:lang w:val="zh-CN"/>
        </w:rPr>
        <w:t xml:space="preserve">售后服务的优惠措施</w:t>
      </w:r>
      <w:r>
        <w:rPr>
          <w:rFonts w:hint="eastAsia" w:asciiTheme="minorEastAsia" w:hAnsiTheme="minorEastAsia" w:eastAsiaTheme="minorEastAsia" w:cstheme="minorEastAsia"/>
          <w:b w:val="0"/>
          <w:bCs w:val="0"/>
          <w:color w:val="auto"/>
          <w:sz w:val="24"/>
          <w:szCs w:val="24"/>
          <w:highlight w:val="none"/>
        </w:rPr>
        <w:t xml:space="preserve">等。</w:t>
      </w:r>
      <w:r/>
    </w:p>
    <w:p>
      <w:pPr>
        <w:pStyle w:val="956"/>
        <w:numPr>
          <w:ilvl w:val="0"/>
          <w:numId w:val="0"/>
        </w:numPr>
        <w:jc w:val="both"/>
        <w:keepLines w:val="0"/>
        <w:keepNext w:val="0"/>
        <w:pageBreakBefore w:val="0"/>
        <w:spacing w:before="120" w:beforeAutospacing="0" w:after="120" w:afterAutospacing="0"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链路承诺</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本项目涉及大量数据专线专用通信链路建设，通信链路建设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工期直接影响项目总工期，投标人投标过程中应</w:t>
      </w:r>
      <w:r>
        <w:rPr>
          <w:rFonts w:hint="eastAsia" w:asciiTheme="minorEastAsia" w:hAnsiTheme="minorEastAsia" w:cstheme="minorEastAsia"/>
          <w:b w:val="0"/>
          <w:bCs w:val="0"/>
          <w:color w:val="auto"/>
          <w:sz w:val="24"/>
          <w:szCs w:val="24"/>
          <w:highlight w:val="none"/>
          <w:lang w:val="en-US" w:eastAsia="zh-CN"/>
        </w:rPr>
        <w:t xml:space="preserve">提前</w:t>
      </w:r>
      <w:r>
        <w:rPr>
          <w:rFonts w:hint="eastAsia" w:asciiTheme="minorEastAsia" w:hAnsiTheme="minorEastAsia" w:eastAsiaTheme="minorEastAsia" w:cstheme="minorEastAsia"/>
          <w:b w:val="0"/>
          <w:bCs w:val="0"/>
          <w:color w:val="auto"/>
          <w:sz w:val="24"/>
          <w:szCs w:val="24"/>
          <w:highlight w:val="none"/>
          <w:lang w:val="en-US" w:eastAsia="zh-CN"/>
        </w:rPr>
        <w:t xml:space="preserve">与运营商沟通约定链路建设工期，并且</w:t>
      </w:r>
      <w:r>
        <w:rPr>
          <w:rFonts w:hint="eastAsia" w:asciiTheme="minorEastAsia" w:hAnsiTheme="minorEastAsia" w:eastAsiaTheme="minorEastAsia" w:cstheme="minorEastAsia"/>
          <w:b w:val="0"/>
          <w:bCs w:val="0"/>
          <w:color w:val="auto"/>
          <w:sz w:val="24"/>
          <w:szCs w:val="24"/>
          <w:highlight w:val="none"/>
        </w:rPr>
        <w:t xml:space="preserve">提供通信运营商</w:t>
      </w:r>
      <w:r>
        <w:rPr>
          <w:rFonts w:hint="eastAsia" w:asciiTheme="minorEastAsia" w:hAnsiTheme="minorEastAsia" w:cstheme="minorEastAsia"/>
          <w:b w:val="0"/>
          <w:bCs w:val="0"/>
          <w:color w:val="auto"/>
          <w:sz w:val="24"/>
          <w:szCs w:val="24"/>
          <w:highlight w:val="none"/>
          <w:lang w:val="en-US" w:eastAsia="zh-CN"/>
        </w:rPr>
        <w:t xml:space="preserve">或投标人</w:t>
      </w:r>
      <w:r>
        <w:rPr>
          <w:rFonts w:hint="eastAsia" w:asciiTheme="minorEastAsia" w:hAnsiTheme="minorEastAsia" w:eastAsiaTheme="minorEastAsia" w:cstheme="minorEastAsia"/>
          <w:b w:val="0"/>
          <w:bCs w:val="0"/>
          <w:color w:val="auto"/>
          <w:sz w:val="24"/>
          <w:szCs w:val="24"/>
          <w:highlight w:val="none"/>
        </w:rPr>
        <w:t xml:space="preserve">承诺函，链路建设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承诺时间短的优先。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维保</w:t>
      </w:r>
      <w:r>
        <w:rPr>
          <w:rFonts w:hint="eastAsia" w:asciiTheme="minorEastAsia" w:hAnsiTheme="minorEastAsia" w:eastAsiaTheme="minorEastAsia" w:cstheme="minorEastAsia"/>
          <w:b/>
          <w:bCs/>
          <w:color w:val="auto"/>
          <w:sz w:val="24"/>
          <w:szCs w:val="24"/>
          <w:highlight w:val="none"/>
        </w:rPr>
        <w:t xml:space="preserve">服务要求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本项目中标人必须提供不少于5年免费维保服务，实行7*24小时响应。</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lang w:val="en-US" w:eastAsia="zh-CN"/>
        </w:rPr>
        <w:t xml:space="preserve">、其他要求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1.由于公安工作的特殊性的要求，在重大保卫活动和节假日期间，中标人需根据招标人要求统一安排维护值班力量，加派维护人员实行全程跟踪管理，进行全面保障，随时解决可能出现的突发问题。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2.涉及到第三方破坏的，中标人自行追责解决问题，</w:t>
      </w:r>
      <w:bookmarkStart w:id="195" w:name="OLE_LINK25"/>
      <w:r>
        <w:rPr>
          <w:rFonts w:hint="eastAsia" w:asciiTheme="minorEastAsia" w:hAnsiTheme="minorEastAsia" w:eastAsiaTheme="minorEastAsia" w:cstheme="minorEastAsia"/>
          <w:color w:val="auto"/>
          <w:sz w:val="24"/>
          <w:szCs w:val="24"/>
          <w:highlight w:val="none"/>
        </w:rPr>
        <w:t xml:space="preserve">招标人</w:t>
      </w:r>
      <w:bookmarkEnd w:id="195"/>
      <w:r>
        <w:rPr>
          <w:rFonts w:hint="eastAsia" w:asciiTheme="minorEastAsia" w:hAnsiTheme="minorEastAsia" w:eastAsiaTheme="minorEastAsia" w:cstheme="minorEastAsia"/>
          <w:color w:val="auto"/>
          <w:sz w:val="24"/>
          <w:szCs w:val="24"/>
          <w:highlight w:val="none"/>
        </w:rPr>
        <w:t xml:space="preserve">予以协助，不再增加费用。</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GB"/>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GB"/>
        </w:rPr>
        <w:t xml:space="preserve">每年免费为采购人提供</w:t>
      </w:r>
      <w:r>
        <w:rPr>
          <w:rFonts w:hint="eastAsia" w:asciiTheme="minorEastAsia" w:hAnsiTheme="minorEastAsia" w:eastAsiaTheme="minorEastAsia" w:cstheme="minorEastAsia"/>
          <w:b/>
          <w:bCs/>
          <w:color w:val="auto"/>
          <w:sz w:val="24"/>
          <w:szCs w:val="24"/>
          <w:highlight w:val="none"/>
          <w:lang w:val="en-GB"/>
        </w:rPr>
        <w:t xml:space="preserve">不少于</w:t>
      </w:r>
      <w:r>
        <w:rPr>
          <w:rFonts w:hint="eastAsia" w:asciiTheme="minorEastAsia" w:hAnsiTheme="minorEastAsia" w:eastAsiaTheme="minorEastAsia" w:cstheme="minorEastAsia"/>
          <w:b/>
          <w:bCs/>
          <w:color w:val="auto"/>
          <w:sz w:val="24"/>
          <w:szCs w:val="24"/>
          <w:highlight w:val="none"/>
          <w:lang w:val="en-US" w:eastAsia="zh-CN"/>
        </w:rPr>
        <w:t xml:space="preserve">50</w:t>
      </w:r>
      <w:r>
        <w:rPr>
          <w:rFonts w:hint="eastAsia" w:asciiTheme="minorEastAsia" w:hAnsiTheme="minorEastAsia" w:eastAsiaTheme="minorEastAsia" w:cstheme="minorEastAsia"/>
          <w:b/>
          <w:bCs/>
          <w:color w:val="auto"/>
          <w:sz w:val="24"/>
          <w:szCs w:val="24"/>
          <w:highlight w:val="none"/>
          <w:lang w:val="en-GB"/>
        </w:rPr>
        <w:t xml:space="preserve">个点位</w:t>
      </w:r>
      <w:r>
        <w:rPr>
          <w:rFonts w:hint="eastAsia" w:asciiTheme="minorEastAsia" w:hAnsiTheme="minorEastAsia" w:eastAsiaTheme="minorEastAsia" w:cstheme="minorEastAsia"/>
          <w:color w:val="auto"/>
          <w:sz w:val="24"/>
          <w:szCs w:val="24"/>
          <w:highlight w:val="none"/>
          <w:lang w:val="en-GB"/>
        </w:rPr>
        <w:t xml:space="preserve">的免费迁移服务，包含但不限于该点位所有设备、杆件、辅材、链路、接电、人工等，具体迁移点位由</w:t>
      </w:r>
      <w:r>
        <w:rPr>
          <w:rFonts w:hint="eastAsia" w:asciiTheme="minorEastAsia" w:hAnsiTheme="minorEastAsia" w:eastAsiaTheme="minorEastAsia" w:cstheme="minorEastAsia"/>
          <w:color w:val="auto"/>
          <w:sz w:val="24"/>
          <w:szCs w:val="24"/>
          <w:highlight w:val="none"/>
        </w:rPr>
        <w:t xml:space="preserve">招标人</w:t>
      </w:r>
      <w:r>
        <w:rPr>
          <w:rFonts w:hint="eastAsia" w:asciiTheme="minorEastAsia" w:hAnsiTheme="minorEastAsia" w:eastAsiaTheme="minorEastAsia" w:cstheme="minorEastAsia"/>
          <w:color w:val="auto"/>
          <w:sz w:val="24"/>
          <w:szCs w:val="24"/>
          <w:highlight w:val="none"/>
          <w:lang w:val="en-GB"/>
        </w:rPr>
        <w:t xml:space="preserve">决定，迁移过程中的所有费用由</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GB"/>
        </w:rPr>
        <w:t xml:space="preserve">承担，超出上述点位数部分的迁移产生的所有费用由</w:t>
      </w:r>
      <w:bookmarkStart w:id="196" w:name="OLE_LINK26"/>
      <w:r>
        <w:rPr>
          <w:rFonts w:hint="eastAsia" w:asciiTheme="minorEastAsia" w:hAnsiTheme="minorEastAsia" w:eastAsiaTheme="minorEastAsia" w:cstheme="minorEastAsia"/>
          <w:color w:val="auto"/>
          <w:sz w:val="24"/>
          <w:szCs w:val="24"/>
          <w:highlight w:val="none"/>
        </w:rPr>
        <w:t xml:space="preserve">招标人</w:t>
      </w:r>
      <w:bookmarkEnd w:id="196"/>
      <w:r>
        <w:rPr>
          <w:rFonts w:hint="eastAsia" w:asciiTheme="minorEastAsia" w:hAnsiTheme="minorEastAsia" w:eastAsiaTheme="minorEastAsia" w:cstheme="minorEastAsia"/>
          <w:color w:val="auto"/>
          <w:sz w:val="24"/>
          <w:szCs w:val="24"/>
          <w:highlight w:val="none"/>
          <w:lang w:val="en-GB"/>
        </w:rPr>
        <w:t xml:space="preserve">承担；</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4、本项目不得使用老旧设备（生产日期2025年之前）</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十二、</w:t>
      </w:r>
      <w:r>
        <w:rPr>
          <w:rFonts w:hint="eastAsia" w:asciiTheme="minorEastAsia" w:hAnsiTheme="minorEastAsia" w:eastAsiaTheme="minorEastAsia" w:cstheme="minorEastAsia"/>
          <w:b/>
          <w:bCs/>
          <w:color w:val="auto"/>
          <w:sz w:val="24"/>
          <w:szCs w:val="24"/>
          <w:highlight w:val="none"/>
          <w:lang w:val="en-US" w:eastAsia="zh-CN"/>
        </w:rPr>
        <w:t xml:space="preserve">《维保服务要求及考核方式》</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bidi="ar-SA"/>
        </w:rPr>
        <w:t xml:space="preserve">（一）</w:t>
      </w:r>
      <w:r>
        <w:rPr>
          <w:rFonts w:hint="eastAsia" w:asciiTheme="minorEastAsia" w:hAnsiTheme="minorEastAsia" w:eastAsiaTheme="minorEastAsia" w:cstheme="minorEastAsia"/>
          <w:b/>
          <w:bCs w:val="0"/>
          <w:color w:val="auto"/>
          <w:sz w:val="24"/>
          <w:szCs w:val="24"/>
          <w:highlight w:val="none"/>
          <w:lang w:val="en-US" w:eastAsia="zh-CN"/>
        </w:rPr>
        <w:t xml:space="preserve">资料要求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根据竣工资料模板提供有效、准确的点位分布图（点位治理平台录入）、点位综合信息表、电力及网络开户信息表、视频、人像</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信息一机一档表（纸质档和电子档各一份）。</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按照上级部门相关设备配置要求，对视频监控图像进行五级信息标注，人像、车辆抓拍要求标注、配置，并录入指定视频监控平台、视图库平台、运维平台</w:t>
      </w:r>
      <w:r>
        <w:rPr>
          <w:rFonts w:hint="eastAsia" w:asciiTheme="minorEastAsia" w:hAnsiTheme="minorEastAsia" w:eastAsiaTheme="minorEastAsia" w:cstheme="minorEastAsia"/>
          <w:color w:val="auto"/>
          <w:sz w:val="24"/>
          <w:szCs w:val="24"/>
          <w:highlight w:val="none"/>
          <w:lang w:val="en-US" w:eastAsia="zh"/>
        </w:rPr>
        <w:t xml:space="preserve">，完成上述工作后报项目验收</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应制定维护计划，落实维护各个环节，落实好维护范围内所有设备的维护、保养和运行维护工作，保证设备机械性能良好、电气特性符合标准要求、设备运行正常、稳定，数据及时准确，技术资料、原始记录齐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维护单位必须建立健全项目维护技术资料：</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a、妥善保管各种图纸、说明书和有关资料，集中存放，由专人定期整理。设备调拨时有关资料应随机转移，不得扣留或抽取插页。</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b、按规范采购一定数量的备件备品，对不能修复的设备进行更换，确保设备正常运行。建立项目定期维护记录表及维护日志，妥善保存启用、停用、大修、故障及重要测试数据。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c、在日常维护中要做好维护及巡检记录，统计记录一周交由采购方签字确认，并每季度向采购方递交记录情况表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各种记录在当月工作完成后要及时整理。每季度的作业计划、报表和记录要装订成册，标识明确。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d、各种维护报表、值班记录，要妥善保存。</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提供服务项目组组成人员名单、常规服务、维护档案、服务建议等（相关内容自行拓展）。</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运维记录内包含巡检日志、维修日志、维护计划等信息，维保单位须按照时间节点进行报送。</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（二）维保要求</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1、设备维保</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w:t>
      </w:r>
      <w:r>
        <w:rPr>
          <w:rFonts w:hint="eastAsia" w:asciiTheme="minorEastAsia" w:hAnsiTheme="minorEastAsia" w:eastAsiaTheme="minorEastAsia" w:cstheme="minorEastAsia"/>
          <w:color w:val="auto"/>
          <w:sz w:val="24"/>
          <w:szCs w:val="24"/>
          <w:highlight w:val="none"/>
          <w:lang w:val="en-US" w:eastAsia="zh-CN"/>
        </w:rPr>
        <w:t xml:space="preserve">根据项目情况</w:t>
      </w:r>
      <w:r>
        <w:rPr>
          <w:rFonts w:hint="eastAsia" w:asciiTheme="minorEastAsia" w:hAnsiTheme="minorEastAsia" w:eastAsiaTheme="minorEastAsia" w:cstheme="minorEastAsia"/>
          <w:color w:val="auto"/>
          <w:sz w:val="24"/>
          <w:szCs w:val="24"/>
          <w:highlight w:val="none"/>
        </w:rPr>
        <w:t xml:space="preserve">采购</w:t>
      </w:r>
      <w:r>
        <w:rPr>
          <w:rFonts w:hint="eastAsia" w:asciiTheme="minorEastAsia" w:hAnsiTheme="minorEastAsia" w:eastAsiaTheme="minorEastAsia" w:cstheme="minorEastAsia"/>
          <w:color w:val="auto"/>
          <w:sz w:val="24"/>
          <w:szCs w:val="24"/>
          <w:highlight w:val="none"/>
          <w:lang w:val="en-US" w:eastAsia="zh-CN"/>
        </w:rPr>
        <w:t xml:space="preserve">不低于招标量的10%</w:t>
      </w:r>
      <w:r>
        <w:rPr>
          <w:rFonts w:hint="eastAsia" w:asciiTheme="minorEastAsia" w:hAnsiTheme="minorEastAsia" w:eastAsiaTheme="minorEastAsia" w:cstheme="minorEastAsia"/>
          <w:color w:val="auto"/>
          <w:sz w:val="24"/>
          <w:szCs w:val="24"/>
          <w:highlight w:val="none"/>
        </w:rPr>
        <w:t xml:space="preserve">的备品备件，备品备件种类及数量见项目采购清单。</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须对不能修复的设备及时更换，确保设备正常运行（更换的备品备件必须是同品牌同型号的；如备品备件已更新换代的，必须选用比原型号性能指标高且功能更完善强大的产品，改型替代前须向采购方报备，采购方同意后方可更换。所有更换后的产品，</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不少于5年）。</w:t>
      </w:r>
      <w:r/>
    </w:p>
    <w:tbl>
      <w:tblPr>
        <w:tblStyle w:val="948"/>
        <w:tblW w:w="8300" w:type="dxa"/>
        <w:jc w:val="center"/>
        <w:tblBorders>
          <w:top w:val="single" w:color="auto"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33"/>
        <w:gridCol w:w="5400"/>
        <w:gridCol w:w="1367"/>
      </w:tblGrid>
      <w:tr>
        <w:trPr>
          <w:jc w:val="center"/>
          <w:trHeight w:val="467"/>
        </w:trPr>
        <w:tc>
          <w:tcPr>
            <w:tcBorders>
              <w:top w:val="single" w:color="auto" w:sz="8" w:space="0"/>
              <w:left w:val="single" w:color="000000" w:sz="8" w:space="0"/>
              <w:bottom w:val="single" w:color="000000" w:sz="8" w:space="0"/>
              <w:right w:val="single" w:color="000000" w:sz="8" w:space="0"/>
            </w:tcBorders>
            <w:tcW w:w="153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设备名称</w:t>
            </w:r>
            <w:r/>
          </w:p>
        </w:tc>
        <w:tc>
          <w:tcPr>
            <w:tcBorders>
              <w:top w:val="single" w:color="auto"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清洁内容</w:t>
            </w:r>
            <w:r/>
          </w:p>
        </w:tc>
        <w:tc>
          <w:tcPr>
            <w:tcBorders>
              <w:top w:val="single" w:color="auto"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清洁周期</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前端设备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摄像机护罩、镜头的清洁除尘及故障检查；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前端控制箱内的清洁除尘及故障检查；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光端机的保养、清洁及故障检查；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检测器的保养，清洁及故障检查。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后台存储设备的保养、清洁及故障检查；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矩阵及控制键盘的保养、清洁及故障检查；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显示设备的保养、清洁及故障检查；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机柜及机柜内其他设备的保养、清洁及故障检查。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1090"/>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机房设备</w:t>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工控机的保养、清洁及故障检查；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48"/>
        </w:trPr>
        <w:tc>
          <w:tcPr>
            <w:tcBorders>
              <w:top w:val="single" w:color="000000" w:sz="8" w:space="0"/>
              <w:left w:val="single" w:color="000000" w:sz="8" w:space="0"/>
              <w:bottom w:val="single" w:color="000000" w:sz="8" w:space="0"/>
              <w:right w:val="single" w:color="000000" w:sz="8" w:space="0"/>
            </w:tcBorders>
            <w:tcW w:w="1533" w:type="dxa"/>
            <w:vAlign w:val="center"/>
            <w:vMerge w:val="continue"/>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机架除尘、工控机、服务器、显示设备屏幕的保养、清洁及故障检查；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制冷设备的保养、清洁及故障检查；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动环系统设备的保养、清洁及故障检查；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bl>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2、线路维保</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运维期</w:t>
      </w:r>
      <w:r>
        <w:rPr>
          <w:rFonts w:hint="eastAsia" w:asciiTheme="minorEastAsia" w:hAnsiTheme="minorEastAsia" w:eastAsiaTheme="minorEastAsia" w:cstheme="minorEastAsia"/>
          <w:b w:val="0"/>
          <w:bCs/>
          <w:color w:val="auto"/>
          <w:sz w:val="24"/>
          <w:szCs w:val="24"/>
          <w:highlight w:val="none"/>
        </w:rPr>
        <w:t xml:space="preserve">间内须每日巡查</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上报。维保线路中所含的线路、点位及设备等的保管、损坏、更换均由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承担，采购人不再承担相关费用）。如因</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原因巡查不到位且未及时通报采购人的，出现线路故障或设备损坏，造成点位、设备或线路等被外力因素损坏所产生的一切后果及费用，均由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承担并负责恢复至原状。</w:t>
      </w:r>
      <w:r>
        <w:rPr>
          <w:rFonts w:hint="eastAsia" w:asciiTheme="minorEastAsia" w:hAnsiTheme="minorEastAsia" w:eastAsiaTheme="minorEastAsia" w:cstheme="minorEastAsia"/>
          <w:b w:val="0"/>
          <w:bCs/>
          <w:color w:val="auto"/>
          <w:sz w:val="24"/>
          <w:szCs w:val="24"/>
          <w:highlight w:val="none"/>
          <w:lang w:val="en-US" w:eastAsia="zh-CN"/>
        </w:rPr>
        <w:t xml:space="preserve">光纤线路须在24小时内完成修复。电力故障须在24小时内完成修复。</w:t>
      </w:r>
      <w:r/>
    </w:p>
    <w:p>
      <w:pPr>
        <w:numPr>
          <w:ilvl w:val="0"/>
          <w:numId w:val="4"/>
        </w:num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组织配置</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（1）人员配置</w:t>
      </w:r>
      <w:r/>
    </w:p>
    <w:tbl>
      <w:tblPr>
        <w:tblStyle w:val="948"/>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31"/>
        <w:gridCol w:w="2000"/>
        <w:gridCol w:w="3266"/>
        <w:gridCol w:w="1047"/>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最低数量配备</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具有工程类</w:t>
            </w:r>
            <w:r>
              <w:rPr>
                <w:rFonts w:hint="eastAsia" w:asciiTheme="minorEastAsia" w:hAnsiTheme="minorEastAsia" w:eastAsiaTheme="minorEastAsia" w:cstheme="minorEastAsia"/>
                <w:color w:val="auto"/>
                <w:sz w:val="24"/>
                <w:szCs w:val="24"/>
                <w:highlight w:val="none"/>
                <w:lang w:val="en-US" w:eastAsia="zh-CN"/>
              </w:rPr>
              <w:t xml:space="preserve">中级及以上</w:t>
            </w: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电工</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有电工证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技术人员（不含驻场人员）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有安防设备维护经验，国家认证的相关证书</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有安全员证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维护</w:t>
            </w:r>
            <w:r>
              <w:rPr>
                <w:rFonts w:hint="eastAsia" w:asciiTheme="minorEastAsia" w:hAnsiTheme="minorEastAsia" w:eastAsiaTheme="minorEastAsia" w:cstheme="minorEastAsia"/>
                <w:color w:val="auto"/>
                <w:sz w:val="24"/>
                <w:szCs w:val="24"/>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2人（根据项目要求配置）</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具备计算机、网络基础知识与实操能力，其他与项目需求符合的技术</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维护人员应相对固定，且24小时有人值守，认真填写值班日志，并做到维护人员在故障突发时随叫随到。</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设施配置</w:t>
      </w:r>
      <w:r/>
    </w:p>
    <w:tbl>
      <w:tblPr>
        <w:tblStyle w:val="948"/>
        <w:tblW w:w="8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28"/>
        <w:gridCol w:w="1703"/>
        <w:gridCol w:w="3063"/>
        <w:gridCol w:w="1734"/>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设施</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工程维护车</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1人(人员需有登高证)</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带自动升降设备，需安装定位系统（需提供行驶证原件复印件；此车辆作为维保单位在本项目中使用，如需更换，须取得采购方同意）</w:t>
            </w:r>
            <w:r/>
          </w:p>
        </w:tc>
        <w:tc>
          <w:tcPr>
            <w:tcBorders>
              <w:top w:val="single" w:color="000000" w:sz="4" w:space="0"/>
              <w:left w:val="single" w:color="000000"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具备登高车，运维期</w:t>
            </w:r>
            <w:r>
              <w:rPr>
                <w:rFonts w:hint="eastAsia" w:asciiTheme="minorEastAsia" w:hAnsiTheme="minorEastAsia" w:eastAsiaTheme="minorEastAsia" w:cstheme="minorEastAsia"/>
                <w:color w:val="auto"/>
                <w:sz w:val="24"/>
                <w:szCs w:val="24"/>
                <w:highlight w:val="none"/>
                <w:lang w:val="en-US" w:eastAsia="zh"/>
              </w:rPr>
              <w:t xml:space="preserve">内维修、保养、保险均有维保单位承担</w:t>
            </w:r>
            <w:r/>
          </w:p>
        </w:tc>
      </w:tr>
      <w:tr>
        <w:trPr>
          <w:jc w:val="center"/>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
              </w:rPr>
              <w:t xml:space="preserve">辆</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5座新能源轿车或SUV</w:t>
            </w:r>
            <w:r>
              <w:rPr>
                <w:rFonts w:hint="eastAsia" w:asciiTheme="minorEastAsia" w:hAnsiTheme="minorEastAsia" w:eastAsiaTheme="minorEastAsia" w:cstheme="minorEastAsia"/>
                <w:color w:val="auto"/>
                <w:sz w:val="24"/>
                <w:szCs w:val="24"/>
                <w:highlight w:val="none"/>
                <w:lang w:val="en-US" w:eastAsia="zh"/>
              </w:rPr>
              <w:t xml:space="preserve">，</w:t>
            </w:r>
            <w:r>
              <w:rPr>
                <w:rFonts w:hint="eastAsia" w:asciiTheme="minorEastAsia" w:hAnsiTheme="minorEastAsia" w:eastAsiaTheme="minorEastAsia" w:cstheme="minorEastAsia"/>
                <w:color w:val="auto"/>
                <w:sz w:val="24"/>
                <w:szCs w:val="24"/>
                <w:highlight w:val="none"/>
                <w:lang w:val="en-US" w:eastAsia="zh-CN"/>
              </w:rPr>
              <w:t xml:space="preserve">需安装定位系统</w:t>
            </w:r>
            <w:r>
              <w:rPr>
                <w:rFonts w:hint="eastAsia" w:asciiTheme="minorEastAsia" w:hAnsiTheme="minorEastAsia" w:eastAsiaTheme="minorEastAsia" w:cstheme="minorEastAsia"/>
                <w:color w:val="auto"/>
                <w:sz w:val="24"/>
                <w:szCs w:val="24"/>
                <w:highlight w:val="none"/>
                <w:lang w:val="en-US" w:eastAsia="zh"/>
              </w:rPr>
              <w:t xml:space="preserve">，按照分局要求停放、巡检</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left"/>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w:t>
            </w:r>
            <w:r>
              <w:rPr>
                <w:rFonts w:hint="eastAsia" w:asciiTheme="minorEastAsia" w:hAnsiTheme="minorEastAsia" w:eastAsiaTheme="minorEastAsia" w:cstheme="minorEastAsia"/>
                <w:color w:val="auto"/>
                <w:sz w:val="24"/>
                <w:szCs w:val="24"/>
                <w:highlight w:val="none"/>
                <w:lang w:val="en-US" w:eastAsia="zh"/>
              </w:rPr>
              <w:t xml:space="preserve">内维修、保养、保险</w:t>
            </w:r>
            <w:r>
              <w:rPr>
                <w:rFonts w:hint="eastAsia" w:asciiTheme="minorEastAsia" w:hAnsiTheme="minorEastAsia" w:eastAsiaTheme="minorEastAsia" w:cstheme="minorEastAsia"/>
                <w:color w:val="auto"/>
                <w:sz w:val="24"/>
                <w:szCs w:val="24"/>
                <w:highlight w:val="none"/>
                <w:lang w:val="en-US" w:eastAsia="zh-CN"/>
              </w:rPr>
              <w:t xml:space="preserve">（强制险和商业险）</w:t>
            </w:r>
            <w:r>
              <w:rPr>
                <w:rFonts w:hint="eastAsia" w:asciiTheme="minorEastAsia" w:hAnsiTheme="minorEastAsia" w:eastAsiaTheme="minorEastAsia" w:cstheme="minorEastAsia"/>
                <w:color w:val="auto"/>
                <w:sz w:val="24"/>
                <w:szCs w:val="24"/>
                <w:highlight w:val="none"/>
                <w:lang w:val="en-US" w:eastAsia="zh"/>
              </w:rPr>
              <w:t xml:space="preserve">均有维保单位承担</w:t>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工具</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1套</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含红光源、光功率计、OTDR、发电机、熔接机等与工程维护相关的工具</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电脑</w:t>
            </w:r>
            <w:r/>
          </w:p>
        </w:tc>
        <w:tc>
          <w:tcPr>
            <w:shd w:val="clear" w:color="auto" w:fill="auto"/>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w:t>
            </w:r>
            <w:r/>
          </w:p>
        </w:tc>
        <w:tc>
          <w:tcPr>
            <w:shd w:val="clear" w:color="auto" w:fill="auto"/>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笔记本与台式电脑，按照相关内部规定接入网络</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keepLines w:val="0"/>
        <w:pageBreakBefore w:val="0"/>
        <w:spacing w:line="44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4、其他要求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
        </w:rPr>
      </w:pPr>
      <w:r>
        <w:rPr>
          <w:rFonts w:hint="eastAsia" w:asciiTheme="minorEastAsia" w:hAnsiTheme="minorEastAsia" w:eastAsiaTheme="minorEastAsia" w:cstheme="minorEastAsia"/>
          <w:color w:val="auto"/>
          <w:sz w:val="24"/>
          <w:szCs w:val="24"/>
          <w:highlight w:val="none"/>
          <w:lang w:val="en-US" w:eastAsia="zh-CN"/>
        </w:rPr>
        <w:t xml:space="preserve">涉及第三方破坏的（如市政施工、绿化施工、交通事故等），线路、光缆必需24小时内恢复，涉及设备杆件的须在一周内恢复，乙方自行追偿，若遇到无法追偿的，费用由乙方自行承担，</w:t>
      </w:r>
      <w:r>
        <w:rPr>
          <w:rFonts w:hint="eastAsia" w:asciiTheme="minorEastAsia" w:hAnsiTheme="minorEastAsia" w:eastAsiaTheme="minorEastAsia" w:cstheme="minorEastAsia"/>
          <w:color w:val="auto"/>
          <w:sz w:val="24"/>
          <w:szCs w:val="24"/>
          <w:highlight w:val="none"/>
          <w:lang w:val="en-US" w:eastAsia="zh"/>
        </w:rPr>
        <w:t xml:space="preserve">分局</w:t>
      </w:r>
      <w:r>
        <w:rPr>
          <w:rFonts w:hint="eastAsia" w:asciiTheme="minorEastAsia" w:hAnsiTheme="minorEastAsia" w:eastAsiaTheme="minorEastAsia" w:cstheme="minorEastAsia"/>
          <w:color w:val="auto"/>
          <w:sz w:val="24"/>
          <w:szCs w:val="24"/>
          <w:highlight w:val="none"/>
          <w:lang w:val="en-US" w:eastAsia="zh-CN"/>
        </w:rPr>
        <w:t xml:space="preserve">不再另行支付费用</w:t>
      </w:r>
      <w:r>
        <w:rPr>
          <w:rFonts w:hint="eastAsia" w:asciiTheme="minorEastAsia" w:hAnsiTheme="minorEastAsia" w:eastAsiaTheme="minorEastAsia" w:cstheme="minorEastAsia"/>
          <w:color w:val="auto"/>
          <w:sz w:val="24"/>
          <w:szCs w:val="24"/>
          <w:highlight w:val="none"/>
          <w:lang w:val="en-US" w:eastAsia="zh"/>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w:t>
      </w:r>
      <w:r>
        <w:rPr>
          <w:rFonts w:hint="eastAsia" w:asciiTheme="minorEastAsia" w:hAnsiTheme="minorEastAsia" w:eastAsiaTheme="minorEastAsia" w:cstheme="minorEastAsia"/>
          <w:color w:val="auto"/>
          <w:sz w:val="24"/>
          <w:szCs w:val="24"/>
          <w:highlight w:val="none"/>
          <w:lang w:val="en-US" w:eastAsia="zh"/>
        </w:rPr>
        <w:t xml:space="preserve">利旧设施复用产生的故障，</w:t>
      </w:r>
      <w:r>
        <w:rPr>
          <w:rFonts w:hint="eastAsia" w:asciiTheme="minorEastAsia" w:hAnsiTheme="minorEastAsia" w:eastAsiaTheme="minorEastAsia" w:cstheme="minorEastAsia"/>
          <w:color w:val="auto"/>
          <w:sz w:val="24"/>
          <w:szCs w:val="24"/>
          <w:highlight w:val="none"/>
          <w:lang w:val="en-US" w:eastAsia="zh-CN"/>
        </w:rPr>
        <w:t xml:space="preserve">如网络、供电等整体中断问题，由原先建设单位主要负责，复用单位配合工作，不得发生推诿现象，否则按照责任平摊处理。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维保过程中，</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需保证所有维保设备正常工作（达到并确保采购人的工作需求）。</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间，维保设备的保管、损坏、更换等均由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承担，采购人不再承担任何费用）。</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紧急保障应急方案：针对用户设备具体应用环境及需求，指定设备在遇到重大故障且可能影响使用时所要采取的应急处理方案，确保在设备发生故障时，能在最短时间内恢复正常。</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特别说明（要求）：</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必须对采购人现有设备具有准确、及时的评估与安全防范措施。服务（维修、线路维保及设备维保）期内，</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严格遵守有关操作规定与安全规定等相关要求。必须完全确保采购人现有设备处于良好的工作状态，必须完全确保并防止采购人的现有设备、工作人员等相关当事方出现安全事故（含对第三方产生的损害）。服务（维修、线路维保及设备维保）期内，因采购人现有设备产生的任何问题或安全事故（除战争及重大自然灾害以外，不计任何原因）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承担（采购人已完全委托给</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，与采购人无关）。</w:t>
      </w:r>
      <w:r/>
    </w:p>
    <w:p>
      <w:p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rPr>
        <w:t xml:space="preserve">考核方法</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考核内容（分值满分100分）</w:t>
      </w:r>
      <w:r/>
    </w:p>
    <w:tbl>
      <w:tblPr>
        <w:tblStyle w:val="948"/>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810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考核内容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基础运维</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机房（机箱）有杂物，控制室、机房卫生不洁，设备上有积尘，发现一次扣1分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监控系统设备不洁（按设备数量计算），每台设备扣0.01分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每个季度需对设备进行系统的保养、深度清洁及全面的故障检查，季度末，出具详细的检查报告。未清洗的扣10分，大于50%未清洗的扣5分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监控画面有遮挡，影响使用的，发现一次，每点扣0.1分</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人像、车辆抓拍模糊的，不能产生有效数据的，发现一次，每点扣0.1分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视频图像周平均在线率须达到95%以上，每低1%扣2分，每低2%扣4分，以此类推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监控离线未在规定时间内修复,每点每天扣0.1分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涉及第三方破坏的，线路、光缆必需24小时内恢复，涉及设备杆件的须在一周内恢复，未恢复的每点每天扣0.5分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交换类、传输类设备损坏的，须在2日内修复到位，未能恢复使用的每点每天扣0.5分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硬盘损坏的须在5日内更换到位，更换不及时发现一次扣0.5分；影响业务使用的，发现一次扣1分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服务器、存储硬件损坏的须在5日内完成维修，未能恢复使用的，发现一次扣1分；影响业务系统运行的，发现一次扣2分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因备品备件储备不足影响到系统运行的，每点每天扣1分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涉及设备软件功能不完善的，可通过升级满足要求的，经分局通知，3日内未升级的，每超一天，有一台扣0.5分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涉及设备安全漏洞的，经分局通知，3日内未按照要求整改的，每超一天，有一台扣0.5分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运维团队</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运维人员配置未按照要求达标的，每人每天扣0.5分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运维设备配置未按照要求达标的，每样每天扣1分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工作不积极，工作不服从安排，不服从指挥调度，指令性工作不能完成,发生不文明行为,发现一次扣1分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养护团队不稳定；上岗前未进行相关培训；未持证上岗；维护工人技术水平考核不达标，每检查到一次扣1分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运维期间，每日须安排人员进行值班（节假日至少有1人在岗）对系统和设备进行巡检，并做好相关记录，每缺少一次，扣0.5分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设备故障维修、故障修复确认未记录的,台帐填写不规范，台帐报表报送不及时的，发现一次扣0.1分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故障发生后，30分钟内无响应；8：00～18：00时间内2小时未到达现场，其它时间3小时未到达现场；12小时未能排除故障的（市政拆迁等特殊原因除外）；故障超过24小时未处理且未上报故障原因的，发现一次扣2分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故障失察、漏查、推诿的，每次扣0.5分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巡检不到位，监控设施存有严重安全隐患未被发现的，发现一次扣1分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市政拆迁等外力因素对我方视频监控设施遭成威胁时，未制定相应措施，未安排人员“三盯”，未确定谈判人员，无积极索赔意识；未拉警示带和未设保护措施；造成资产丢失的，发现一次扣5分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支撑保障</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涉及重大活动（如创文、马拉松、区级或以上部门组织的活动等）需要配合工作或整改相关设施、设备的（如杆件、设备箱、管线、井盖等）要全力配合整改，未达到要求的，每点每天扣1分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涉及上传市局及其他部门的监控点位，要确保每天有效传输视频图像及抓拍数据，未达到要求的，每点每天扣2分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对重大事件、活动的现场保障支持力度不足，发现一次扣1分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因维保不力致案发周边监控录像无法调取，影响破案的，每起治安案件扣3分，刑事案件扣6分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安全考核</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私自向电脑、服务器内拷贝无关文件，未经授权使用分局电脑查询，违章作业不听劝阻，发生不文明行为，发现一次扣2分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未经许可，下载公安内部资料、影像资料，发现一次扣5分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未按要求上报安全报表分析和安全检查情况汇报，发现一次扣1分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未按要求穿戴反光背心，安全帽，未在车流路段摆放安全桶，发现一次扣1分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使用登高车未采取安全措施，未配戴安全帽及安全锁，发现一次扣1分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无关人员擅自进入工作区域，发现一次扣1分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每发生一起安全事故，发现一次扣5分</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巡查车辆、登高车停放在指定区域，离开维保区域需报备，发现一次扣1分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人为造成设备、服务器及电脑损坏的，感染病毒等，发现一次扣5分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未遵守分局相关安全规定的或发生</w:t>
            </w:r>
            <w:r>
              <w:rPr>
                <w:rFonts w:hint="eastAsia" w:asciiTheme="minorEastAsia" w:hAnsiTheme="minorEastAsia" w:cstheme="minorEastAsia"/>
                <w:color w:val="auto"/>
                <w:sz w:val="24"/>
                <w:szCs w:val="24"/>
                <w:highlight w:val="none"/>
                <w:lang w:val="en-US" w:eastAsia="zh-CN"/>
              </w:rPr>
              <w:t xml:space="preserve">网络安全事件</w:t>
            </w:r>
            <w:r>
              <w:rPr>
                <w:rFonts w:hint="eastAsia" w:asciiTheme="minorEastAsia" w:hAnsiTheme="minorEastAsia" w:eastAsiaTheme="minorEastAsia" w:cstheme="minorEastAsia"/>
                <w:color w:val="auto"/>
                <w:sz w:val="24"/>
                <w:szCs w:val="24"/>
                <w:highlight w:val="none"/>
                <w:lang w:val="en-US" w:eastAsia="zh-CN"/>
              </w:rPr>
              <w:t xml:space="preserve">的，发现一次扣10分</w:t>
            </w:r>
            <w:r/>
          </w:p>
        </w:tc>
      </w:tr>
    </w:tbl>
    <w:p>
      <w:pPr>
        <w:ind w:left="0" w:firstLine="480"/>
        <w:keepLines w:val="0"/>
        <w:keepNext w:val="0"/>
        <w:pageBreakBefore w:val="0"/>
        <w:spacing w:beforeAutospacing="0" w:afterAutospacing="0" w:line="440" w:lineRule="exact"/>
        <w:widowControl w:val="off"/>
        <w:tabs>
          <w:tab w:val="left" w:pos="180" w:leader="none"/>
          <w:tab w:val="left" w:pos="36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2.说明</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各项数据以工作处理单或故障诊断系统数据为准。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分≤考评结果，实际付款金额=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应付金额*100%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w:t>
      </w:r>
      <w:r>
        <w:rPr>
          <w:rFonts w:hint="eastAsia" w:asciiTheme="minorEastAsia" w:hAnsiTheme="minorEastAsia" w:eastAsiaTheme="minorEastAsia" w:cstheme="minorEastAsia"/>
          <w:color w:val="auto"/>
          <w:sz w:val="24"/>
          <w:szCs w:val="24"/>
          <w:highlight w:val="none"/>
          <w:lang w:val="en-US" w:eastAsia="zh-CN"/>
        </w:rPr>
        <w:t xml:space="preserve">90</w:t>
      </w:r>
      <w:r>
        <w:rPr>
          <w:rFonts w:hint="eastAsia" w:asciiTheme="minorEastAsia" w:hAnsiTheme="minorEastAsia" w:eastAsiaTheme="minorEastAsia" w:cstheme="minorEastAsia"/>
          <w:color w:val="auto"/>
          <w:sz w:val="24"/>
          <w:szCs w:val="24"/>
          <w:highlight w:val="none"/>
        </w:rPr>
        <w:t xml:space="preserve">分≤考评结果＜9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当80分≤考评结果＜90分，实际付款金额=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当70分≤考评结果＜80分，实际付款金额=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应付金额*80%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当60分≤考评结果＜70分，实际付款金额=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当考评结果＜60分，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有权拒绝付款（视为未达到</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最基本的服务要求）。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每季度</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组织相关人员</w:t>
      </w:r>
      <w:r>
        <w:rPr>
          <w:rFonts w:hint="eastAsia" w:asciiTheme="minorEastAsia" w:hAnsiTheme="minorEastAsia" w:eastAsiaTheme="minorEastAsia" w:cstheme="minorEastAsia"/>
          <w:color w:val="auto"/>
          <w:sz w:val="24"/>
          <w:szCs w:val="24"/>
          <w:highlight w:val="none"/>
          <w:lang w:val="en-US" w:eastAsia="zh-CN"/>
        </w:rPr>
        <w:t xml:space="preserve">不定期</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进行</w:t>
      </w:r>
      <w:r>
        <w:rPr>
          <w:rFonts w:hint="eastAsia" w:asciiTheme="minorEastAsia" w:hAnsiTheme="minorEastAsia" w:eastAsiaTheme="minorEastAsia" w:cstheme="minorEastAsia"/>
          <w:color w:val="auto"/>
          <w:sz w:val="24"/>
          <w:szCs w:val="24"/>
          <w:highlight w:val="none"/>
          <w:lang w:val="en-US" w:eastAsia="zh-CN"/>
        </w:rPr>
        <w:t xml:space="preserve">考核，季末汇总</w:t>
      </w:r>
      <w:r>
        <w:rPr>
          <w:rFonts w:hint="eastAsia" w:asciiTheme="minorEastAsia" w:hAnsiTheme="minorEastAsia" w:eastAsiaTheme="minorEastAsia" w:cstheme="minorEastAsia"/>
          <w:color w:val="auto"/>
          <w:sz w:val="24"/>
          <w:szCs w:val="24"/>
          <w:highlight w:val="none"/>
        </w:rPr>
        <w:t xml:space="preserve">，每年所有季度考核的平均分作为当年的考</w:t>
      </w:r>
      <w:r>
        <w:rPr>
          <w:rFonts w:hint="eastAsia" w:asciiTheme="minorEastAsia" w:hAnsiTheme="minorEastAsia" w:eastAsiaTheme="minorEastAsia" w:cstheme="minorEastAsia"/>
          <w:color w:val="auto"/>
          <w:sz w:val="24"/>
          <w:szCs w:val="24"/>
          <w:highlight w:val="none"/>
          <w:lang w:val="en-US" w:eastAsia="zh-CN"/>
        </w:rPr>
        <w:t xml:space="preserve">核</w:t>
      </w:r>
      <w:r>
        <w:rPr>
          <w:rFonts w:hint="eastAsia" w:asciiTheme="minorEastAsia" w:hAnsiTheme="minorEastAsia" w:eastAsiaTheme="minorEastAsia" w:cstheme="minorEastAsia"/>
          <w:color w:val="auto"/>
          <w:sz w:val="24"/>
          <w:szCs w:val="24"/>
          <w:highlight w:val="none"/>
        </w:rPr>
        <w:t xml:space="preserve">结果；</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先维修，后</w:t>
      </w:r>
      <w:r>
        <w:rPr>
          <w:rFonts w:hint="eastAsia" w:asciiTheme="minorEastAsia" w:hAnsiTheme="minorEastAsia" w:eastAsiaTheme="minorEastAsia" w:cstheme="minorEastAsia"/>
          <w:color w:val="auto"/>
          <w:sz w:val="24"/>
          <w:szCs w:val="24"/>
          <w:highlight w:val="none"/>
          <w:lang w:val="en-US" w:eastAsia="zh-CN"/>
        </w:rPr>
        <w:t xml:space="preserve">运维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从设备安装调试完成并经验收合格后开始计算；</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连续两个季度考核分值低于60分，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有权扣除当年剩余费用。</w:t>
      </w:r>
      <w:r/>
    </w:p>
    <w:p>
      <w:pPr>
        <w:pStyle w:val="973"/>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（四）资产移交</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所有设施、设备在运维期间均由维保单位负责保管（移交分局的设备除外）、维修。项目维保到期后，须确保资产的完好，经分局（或分局选择的第三方单位）确认、清点完毕后移交。若有损坏或遗失的，按合同价在尾款中进行扣除。</w:t>
      </w:r>
      <w:r/>
    </w:p>
    <w:p>
      <w:pPr>
        <w:pStyle w:val="967"/>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包一招标清单及技术参数要求</w:t>
      </w:r>
      <w:r/>
    </w:p>
    <w:tbl>
      <w:tblPr>
        <w:tblStyle w:val="948"/>
        <w:tblW w:w="48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33"/>
        <w:gridCol w:w="6093"/>
        <w:gridCol w:w="662"/>
        <w:gridCol w:w="708"/>
        <w:gridCol w:w="662"/>
      </w:tblGrid>
      <w:tr>
        <w:trPr>
          <w:trHeight w:val="521"/>
          <w:tblHeader/>
        </w:trPr>
        <w:tc>
          <w:tcPr>
            <w:tcW w:w="34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W w:w="43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项目名称</w:t>
            </w:r>
            <w:r/>
          </w:p>
        </w:tc>
        <w:tc>
          <w:tcPr>
            <w:tcW w:w="3168" w:type="pct"/>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W w:w="368"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数量</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一、感知系统建设</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双目双向结构化</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★1、设备内置GPU芯片，自带两个镜头，靶面尺寸均不小于1/1.8英寸，</w:t>
            </w:r>
            <w:r>
              <w:rPr>
                <w:rFonts w:hint="eastAsia" w:ascii="宋体" w:hAnsi="宋体" w:eastAsia="宋体" w:cs="宋体"/>
                <w:color w:val="auto"/>
                <w:sz w:val="16"/>
                <w:szCs w:val="16"/>
                <w:highlight w:val="none"/>
                <w:lang w:val="en-US" w:eastAsia="zh-CN"/>
                <w14:ligatures w14:val="none"/>
              </w:rPr>
              <w:t xml:space="preserve">分辨率</w:t>
            </w:r>
            <w:r>
              <w:rPr>
                <w:rFonts w:ascii="宋体" w:hAnsi="宋体" w:eastAsia="宋体" w:cs="宋体"/>
                <w:color w:val="auto"/>
                <w:sz w:val="16"/>
                <w:szCs w:val="16"/>
                <w:highlight w:val="none"/>
                <w14:ligatures w14:val="none"/>
              </w:rPr>
              <w:t xml:space="preserve">不低于2560×1440，内置补光灯；</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▲2、设备内置算力不小于20TOPS；</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3、最低照度：彩色≤0.0002lx，黑白≤0.0001lx；开启红外补光灯可识别距设备不小于100m处的人体轮廓；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4、通道1和通道2均支持自动变焦、自动聚焦、自动调节光圈功能，焦距不小于8mm~32mm；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▲5、通道1和通道2具备单独云台控制功能，通道1和通道2的云台旋转角度均支持水平调节角度：0°～180°，垂直调节角度：-5°～30°；</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▲6、设备支持人脸成像增强功能，开启后可提升低照度、雨、雾等环境下的人脸抓拍图片的成像效果，支持人脸比对功能，对监控画面中出现的人脸与设备人脸库中的人脸图片进行比对，比对准确率不低于95%；</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7、通道1和通道2均支持全结构化、人脸抓拍、道路监控、人脸比对、智能事件等多种智能模式，可按需切换；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8、全结构化模式下支持同时抓拍人体、人脸、非机动车及机动车；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9、设备支持对区域内移动目标进行检测，支持行人属性分析功能，可通过IE浏览器显示行人属性信息；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10、人脸抓拍功能，可同时对设定区域内的不低于30个行人进行人脸检测、跟踪、抓拍；支持人脸属性分析；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11、人脸比对模式，支持前端人脸比对，可支持不少于10个人脸库的管理，支持非授权名单比对成功报警输出，支持人脸快速比对；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12、同一静止场景相同图像质量下，设备在H.265编码方式时，开启智能编码功能和不开启智能编码相比，码率节约80%；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408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双目单结构化枪</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★1、双通道均采用不低于400万像素1/1.8英寸CMOS图像传感器，内置CPU/GPU/NPU一体的芯片；</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2、设备内置算力不小于10TOPS；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3、最低照度：彩色：彩色不大于0.0002lx，黑白不大于0.0001lx；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▲4、内置两个电动云台，通道1水平旋转范围:0°~355°;垂直旋转范围:-5°~30°；通道2垂直旋转范围:-5°~30°，可通过IE浏览器自定义旋转角度,可一键调节云台至设置的角度；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5、支持内置补光灯；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6、细节通道支持视频结构化，支持机动车、非机动车、人脸、人员等目标的抓拍和属性识别；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▲7、当检测区域出现非机动车逆行时，设备可进行检测并报警；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8、设备可对出现在监控场景内的两眼瞳距不小于13像素的人脸进行检验，并叠加目标提示框；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9、设备可同时对不同速度、明亮度、反光度的行人、非机动车、机动车分类曝光，可实时检测、跟踪、抓拍行进的人脸、人体、非机动车、机动车车牌、机动车；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视频监控球机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★1、设备内置GPU芯片，支持输出图像分辨率不小于2560×1440，光学变倍不小于32倍，最大焦距不小于180mm；</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2、设备支持可见光及红外补光，可见光补光距离：夜间天气晴朗无遮挡，可识别距离设备镜头30m处人体；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3、设备最低照度：红外灯关闭：彩色≤0.0003Lux，黑白模式≤0.0001Lux；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4、球机水平手控速度不小于160°/S，垂直速度不小于120°/S，云台定位精度为±0.1°；</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5、水平旋转范围为360°连续旋转，垂直旋转范围为-15°~90°；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▲6、设备具有风控加热除雾功能,可自动去除内部水状和雾状附着物；</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7、支持像素显示功能，可实时显示监控画面上选定区域的水平像素大小和垂直像素大小；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8、设备具备智能分析抗干扰功能，当篮球、小狗、树叶等非人或车辆目标经过检测区域时，不会触发报警；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▲9、设备web界面功能配置采用导航式操作,可选择全局方案和预置点方案,在方案配置中根据下一步提示配置不同的智能功能；</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10、当智能行为分析设置为区域入侵，越界入侵，进入区域、离开区域时，可对行人、车、自行车、电瓶车、摩托车、三轮车等进行检测设备支持行为分析触发后联动聚焦、联动目标跟踪等多种报警触发方式；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12、防护不低于IP66。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结构化枪球</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★1、全景细节像素均不小于400万，CMOS靶面尺寸均不小于1/1.8英寸，内置不少于两颗GPU芯片；</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2、细节相机支持不小于32倍光学变倍，最大焦距不小于180mm；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3、两通道均支持最低照度彩色不小于0.0002Lux，黑白不小于0.0001Lux；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4、摄像机内置补光灯，设备支持混合补光，可单独开启红外灯和白光灯；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▲5、全景摄像机：水平旋转范围-5°~5°，垂直旋转范围支持5°~17°；细节摄像机：水平旋转范围0°~360°，垂直旋转范围支持-20°~+90°；</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6、设备支持混合目标检测，可同时对行人、非机动车、机动车进行检测、跟踪、抓拍，可支持人脸与人体，车牌与车辆的关联显示；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7、细节支持独立运行机动车、非机动车、人员全抓拍和属性提取；</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8、内置2路报警输入和1路报警输出，支持报警联动功能；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水域警戒相机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一颗GPU芯片，具备不少于三个镜头，且具有三个靶面尺寸不小于1/2.7"英寸的CMOS图像传感器，具有三个独立的图像采集通道，通道1主码流不低于2688x1520、通道2和通道3主码流不低于1920x1080，内置不少于8颗红外补光灯；</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2、设备具有垂直方向调节功能：垂直方向支持±10°旋转，镜头和红外补光灯模块应同步垂直旋转；</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3、设备智能分析目标支持人、车目标识别；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4、设备内置容量不小于8GB的eMMC芯片，用于存储算法及数据，内置算法芯片，可调用算法检测并分类目标；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▲5、设备当检测区域存在晃动的树叶、光影时，可对人员、机动车、狗进行目标检测，检测上报延时不大于1s；</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6、设备支持可检测距离设备80m处肩宽不超过20像素的行人，可检测距离设备100m处车头宽度不超过26像素的机动车；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7、设备具有不少于一颗红色报警灯、一颗蓝色报警灯，当报警产生时，可在报警布防时间内联动声音报警及红蓝灯交替闪烁报警；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8、外壳防护等级不低于IP67。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摄像机安装支架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1.定制安装支架，满足杆件安装、壁装等安装方式；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2.根据摄像机安装方式配置。</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二、感知配套基础设施</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4.5m监控杆件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2、立杆八角型，5.0mm厚-高4.5米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3、横杆八角型，2.0mm厚-长0.8-2.0米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5、基础规格：长700*宽700*深1000,采用C30或以上商业混凝土浇筑，根据杆件配置，与路牙保持平行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436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6.5m监控立杆</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2、立杆八角型，5.0mm厚-高6.5米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3、横杆八角型，4.0mm厚-长2.0-6.0米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5、基础规格：长1200*宽1200*深1200,采用C30或以上商业混凝土浇筑，根据杆件配置，与路牙保持平行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室外设备箱</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箱体材料：采用Q235B优质冷轧钢板镀锌、喷塑，板材厚度≥1.2mm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箱体尺寸：（约）宽度40cm×高度50cm×深度20cm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箱体颜色：招标方指定颜色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箱体标识：招标方指定标识</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顶部造型：尖顶机箱</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安装方式：立杆抱箍固定</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进线方式：套管下穿</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电气配置：内置1个32A漏保空开，在电源断开恢复时可自动复位,接线端子*5，三孔插座*5，两孔插座*5</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其他：内置托板1块、风扇、防尘网</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工业交换机</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5口工业级千兆以太网交换机</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光纤收发器</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千兆3公里，一光一电</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光纤终端盒</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4口满配单模，包含尾纤</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移装</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1、拆除原有点位杆件、设备，移装至指定位置</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2、参照原点位基础规格制作移装位置杆件安装基础，含商混、开挖、地笼、底座法兰、锚板等</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3、含设备箱电缆、摄像机电源线、网线等主材（国标YJV3*2.5mm²、国标RVV2*1.0mm²、CAT6），实际配置满足设计及使用需求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横臂</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1、横杆八角型，4.0mm厚-长2.0-6.0米，根据点位情况定制长度，并配置立杆抱箍等安装配件。</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施工</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2、含设备箱电缆、摄像机电源线、网线、光缆等主材（国标YJV3*2.5mm²、国标RVV2*1.0mm²、CAT6、GYTA-4、跳线），实际配置满足设计及使用需求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用电</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各前端自建点位挂表接电用电服务费，以分局名义开户，5年服务期</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474</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传输线路租赁费，以分局名义开户，5年服务期，不低于千兆带宽，保证前端所有设备数据安全回传，不得有卡顿、跳帧、延时等（前端提供4个千兆网口接入端口）。</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bl>
    <w:p>
      <w:pPr>
        <w:ind w:firstLine="48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500" w:lineRule="exac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pStyle w:val="951"/>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rPr>
          <w:rFonts w:hint="eastAsia" w:ascii="仿宋" w:hAnsi="仿宋" w:eastAsia="仿宋"/>
          <w:b/>
          <w:bCs/>
          <w:color w:val="auto"/>
          <w:sz w:val="32"/>
          <w:szCs w:val="36"/>
          <w:highlight w:val="none"/>
          <w:lang w:val="en-US" w:eastAsia="zh-CN"/>
        </w:rPr>
      </w:pPr>
      <w:r>
        <w:rPr>
          <w:rFonts w:hint="eastAsia" w:ascii="仿宋" w:hAnsi="仿宋" w:eastAsia="仿宋"/>
          <w:b/>
          <w:bCs/>
          <w:color w:val="auto"/>
          <w:sz w:val="32"/>
          <w:szCs w:val="36"/>
          <w:highlight w:val="none"/>
          <w:lang w:val="en-US" w:eastAsia="zh-CN"/>
        </w:rPr>
        <w:br w:type="page" w:clear="all"/>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第四章 采购需求</w:t>
      </w:r>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包二</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50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包二650.00万元</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最高限价：包二645.4760万元</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：合同签订后60日</w:t>
      </w:r>
      <w:r>
        <w:rPr>
          <w:rFonts w:hint="eastAsia" w:asciiTheme="minorEastAsia" w:hAnsiTheme="minorEastAsia" w:eastAsiaTheme="minorEastAsia" w:cstheme="minorEastAsia"/>
          <w:bCs/>
          <w:color w:val="auto"/>
          <w:sz w:val="24"/>
          <w:szCs w:val="24"/>
          <w:highlight w:val="none"/>
          <w:u w:val="none"/>
          <w:lang w:val="en-US" w:eastAsia="zh-CN"/>
        </w:rPr>
        <w:t xml:space="preserve">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w:t>
      </w:r>
      <w:r>
        <w:rPr>
          <w:rFonts w:hint="eastAsia" w:asciiTheme="minorEastAsia" w:hAnsiTheme="minorEastAsia" w:eastAsiaTheme="minorEastAsia" w:cstheme="minorEastAsia"/>
          <w:bCs/>
          <w:color w:val="auto"/>
          <w:sz w:val="24"/>
          <w:szCs w:val="24"/>
          <w:highlight w:val="none"/>
          <w:u w:val="none"/>
          <w:lang w:val="en-US" w:eastAsia="zh-CN"/>
        </w:rPr>
        <w:t xml:space="preserve">，包二采购标的中的核心产品为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云存储节点</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投标人的现场踏勘行为有任何责任须自行承担，不得因此使采购人承担有关的责任和蒙受损失。</w:t>
      </w:r>
      <w:r/>
    </w:p>
    <w:p>
      <w:pPr>
        <w:pStyle w:val="956"/>
        <w:ind w:firstLine="480"/>
        <w:jc w:val="both"/>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pStyle w:val="956"/>
        <w:ind w:firstLine="480"/>
        <w:jc w:val="both"/>
        <w:spacing w:beforeAutospacing="0" w:afterAutospacing="0" w:line="440" w:lineRule="exact"/>
        <w:rPr>
          <w:rFonts w:hint="default" w:asciiTheme="minorEastAsia" w:hAnsiTheme="minorEastAsia" w:cstheme="minorEastAsia"/>
          <w:b/>
          <w:bCs w:val="0"/>
          <w:color w:val="auto"/>
          <w:sz w:val="24"/>
          <w:szCs w:val="24"/>
          <w:highlight w:val="yellow"/>
          <w:lang w:val="en-US" w:eastAsia="zh-CN"/>
        </w:rPr>
      </w:pPr>
      <w:r>
        <w:rPr>
          <w:rFonts w:hint="eastAsia" w:asciiTheme="minorEastAsia" w:hAnsiTheme="minorEastAsia" w:cstheme="minorEastAsia"/>
          <w:b/>
          <w:bCs w:val="0"/>
          <w:color w:val="auto"/>
          <w:sz w:val="24"/>
          <w:szCs w:val="24"/>
          <w:highlight w:val="yellow"/>
          <w:lang w:val="en-US" w:eastAsia="zh-CN"/>
        </w:rPr>
        <w:t xml:space="preserve">5</w:t>
      </w:r>
      <w:r>
        <w:rPr>
          <w:rFonts w:hint="eastAsia" w:asciiTheme="minorEastAsia" w:hAnsiTheme="minorEastAsia" w:cstheme="minorEastAsia"/>
          <w:b/>
          <w:bCs w:val="0"/>
          <w:color w:val="auto"/>
          <w:sz w:val="24"/>
          <w:szCs w:val="24"/>
          <w:highlight w:val="yellow"/>
          <w:lang w:eastAsia="zh-CN"/>
        </w:rPr>
        <w:t xml:space="preserve">、</w:t>
      </w:r>
      <w:r>
        <w:rPr>
          <w:rFonts w:hint="eastAsia" w:asciiTheme="minorEastAsia" w:hAnsiTheme="minorEastAsia" w:cstheme="minorEastAsia"/>
          <w:b/>
          <w:bCs w:val="0"/>
          <w:color w:val="auto"/>
          <w:sz w:val="24"/>
          <w:szCs w:val="24"/>
          <w:highlight w:val="yellow"/>
          <w:lang w:val="en-US" w:eastAsia="zh-CN"/>
        </w:rPr>
        <w:t xml:space="preserve">包二项目清单第4条驻场研发运维服务，此项为不可竞争费用，计1260000.00元，投标人投标时须按此价格报价，否则按无效标处理。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60日历天内必须完成供货并安装、调试，验收合格后交付采购人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六、视频演示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要求投标人需逐项对照演示功能采用原系统录屏方式录制演示视频，每个投标人视频演示介绍总时间不超过10分钟，通过演示视频展示投标人研发平台功能完整性、整体集成性、操作简便性、效果流畅性和页面设计美观性，具体演示内容如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1.勤务可视化平台演示：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要素上图：演示辖区内所有关联警力、装备、视频、重要场所、勤务资源等各类要素进行上图展示，支持卫星地图和标准地图模式的切换，实现“一图观天下、一图调千军”，满足重大活动安保一图作战需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（2）工作区域划分：演示通过本地行政中心的三维地图，基于地图提供的集成接口，实现各勤务单位工作区域的线区域、圆区域、长方形区域、不规则多边形区域的划分；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（3）日常维护管理：演示每个工作区域的安全要求和防护等级以及日常执勤人员数据，实现工作区域数据信息的日常维护管理；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巡防工作管理：演示地图快速标注执勤点、必巡点、巡逻频次，自动对应巡防方案和巡防工作单位；实现勤务单位、勤务小组、勤务类型、勤务级别、巡逻区域、勤务职责、勤务标准、开始、结束时间等内容的工作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2.安保实战管理平台演示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（1）警力资源调阅：演示调用安保活动周边监控摄像头、执法记录仪视频、350M电台定位等各类一线警力资源；实现活动现场态势实时可视化展示，全域精准掌握在岗警力位置、布防分布。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（2）安保路线规划：演示针对安保任务规划通行、疏散、应急多条勤务路线，依托电子地图完成点位标注可视化展示；实现沿线视频监控、勤务路线、值守警力资源一体化联动绑定。</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（3）编制安保预案：在地图上直接标注安保分区、封控圈、执勤点位、应急救援点、分流通道，绑定警力、装备、视频、350M电台；实现标绘布防、应急处置一体化图上作战指挥。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（4）街面警情分析：演示自动归集、研判辖区各类街面警情数据；自动生成警情质态分析报告、内部工作通报，同步触发各类重大风险警情分级预警。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（5）勤务指令推送：演示向各片区、各勤务组下发安保任务、现场处置指令，多渠道直达一线执勤终端；后台自动汇总、实时统计全体执勤人员到岗履职数据。</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3.实战模型平台演示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（1）数据实战模型：演示平台累计建设的模型总量、总预警次数，并按人员类、警情类、案件类、车辆类等业务维度，分类展示对应领域的模型数量与预警总量。实现直观呈现平台的建设规模与基础成效。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（2）单模型业务能力：演示单个模型，实现模型的实战能力。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（3）平台个性化配置：演示日常高频使用、重点跟进的模型加入收藏；实现在「我的关注」标签页，快速调取已收藏的模型。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4.警务大模型基础能力（智能体）演示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多模态警情智能解析：演示输入一段报警录音或模糊警情描述，实现大模型自动完成警情分类、要素提取（时间、地点、涉事人、事件类型）、风险分级，输出结构化警务标准格式，触发大模型自动解析，精准提取事发时间、地点、涉事主体、核心事件等全量要素；</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（2）智能体编排工作台：演示依托算力平台，进入智能体编排工作台，通过拖拽组合界面预置的能力组件（如自然语言理解、图像识别、数据查询等），实现智能体的快速搭建；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（3）权限配置：演示不同角色（如民警、管理员）的操作权限差异，实现智能体的权限配置（如数据访问范围、API调用限制）；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（4）智能体发布：演示将智能体发布到能力市场，第三方开发者通过SDK调用已发布的智能体，快速集成到自有系统；实现警务大模型为可复用的智能体服务。</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七、企业实力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w:t>
      </w:r>
      <w:r>
        <w:rPr>
          <w:rFonts w:hint="eastAsia" w:asciiTheme="minorEastAsia" w:hAnsiTheme="minorEastAsia" w:eastAsiaTheme="minorEastAsia" w:cstheme="minorEastAsia"/>
          <w:b w:val="0"/>
          <w:bCs w:val="0"/>
          <w:color w:val="auto"/>
          <w:sz w:val="24"/>
          <w:szCs w:val="24"/>
          <w:highlight w:val="none"/>
          <w:lang w:val="en-US" w:eastAsia="zh-CN"/>
        </w:rPr>
        <w:t xml:space="preserve">体系，直接影响项目实施的规范性、稳定性和可持续性。供应商具有有效且通过年检的环境管理体系认证证书、职业健康安全管理体系认证证书、质量管理体系认证证书、人工智能管理体系认证证书、</w:t>
      </w:r>
      <w:r>
        <w:rPr>
          <w:rFonts w:hint="eastAsia" w:asciiTheme="minorEastAsia" w:hAnsiTheme="minorEastAsia" w:eastAsiaTheme="minorEastAsia" w:cstheme="minorEastAsia"/>
          <w:b w:val="0"/>
          <w:bCs w:val="0"/>
          <w:color w:val="auto"/>
          <w:sz w:val="24"/>
          <w:szCs w:val="24"/>
          <w:highlight w:val="none"/>
        </w:rPr>
        <w:t xml:space="preserve">信息技术服务管理体系认证证书、</w:t>
      </w:r>
      <w:r>
        <w:rPr>
          <w:rFonts w:hint="eastAsia" w:asciiTheme="minorEastAsia" w:hAnsiTheme="minorEastAsia" w:eastAsiaTheme="minorEastAsia" w:cstheme="minorEastAsia"/>
          <w:b w:val="0"/>
          <w:bCs w:val="0"/>
          <w:color w:val="auto"/>
          <w:sz w:val="24"/>
          <w:szCs w:val="24"/>
          <w:highlight w:val="none"/>
          <w:lang w:val="en-US" w:eastAsia="zh-CN"/>
        </w:rPr>
        <w:t xml:space="preserve">信息安全管理体系认证</w:t>
      </w:r>
      <w:r>
        <w:rPr>
          <w:rFonts w:hint="eastAsia" w:asciiTheme="minorEastAsia" w:hAnsiTheme="minorEastAsia" w:eastAsiaTheme="minorEastAsia" w:cstheme="minorEastAsia"/>
          <w:b w:val="0"/>
          <w:bCs w:val="0"/>
          <w:color w:val="auto"/>
          <w:sz w:val="24"/>
          <w:szCs w:val="24"/>
          <w:highlight w:val="none"/>
        </w:rPr>
        <w:t xml:space="preserve">证书</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八、团队实力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对供应商的团队实力提出了较高要求。项目团队的资质水平、专业配置及关键人员的从业经验，是确保运维服务质量的核心要素。项目经理具有信息系统项目管理师、数字经济（电子信息类）高级工程师职称证书、系统分析师、通信工程师、注册信息安全专业人员（CISP）证书、网络信息安全管理员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项目项目技术负责人（与项目经理非同一人）具有高级工程师、系统规划与管理师、信息与通信工程师、注册信息安全专业人员（CISP）证书的优先。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val="en-US" w:eastAsia="zh-CN"/>
        </w:rPr>
        <w:t xml:space="preserve">项目组成员</w:t>
      </w:r>
      <w:r>
        <w:rPr>
          <w:rFonts w:hint="eastAsia" w:asciiTheme="minorEastAsia" w:hAnsiTheme="minorEastAsia" w:eastAsiaTheme="minorEastAsia" w:cstheme="minorEastAsia"/>
          <w:color w:val="auto"/>
          <w:sz w:val="24"/>
          <w:szCs w:val="24"/>
          <w:highlight w:val="none"/>
          <w:lang w:val="en-US" w:eastAsia="zh-CN"/>
        </w:rPr>
        <w:t xml:space="preserve">（除项目经理、技术负责人外）具备网络工程师、系统集成项目管理工程师、通信工程师、信息安全保障人员认证证书（CISAW）的优先。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九、供应商业绩要求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bidi="ar-SA"/>
        </w:rPr>
        <w:t xml:space="preserve">本项目服务内容专业性强、运维要求高，对</w:t>
      </w:r>
      <w:r>
        <w:rPr>
          <w:rFonts w:hint="eastAsia" w:asciiTheme="minorEastAsia" w:hAnsiTheme="minorEastAsia" w:eastAsiaTheme="minorEastAsia" w:cstheme="minorEastAsia"/>
          <w:b w:val="0"/>
          <w:bCs/>
          <w:color w:val="auto"/>
          <w:sz w:val="24"/>
          <w:szCs w:val="24"/>
          <w:highlight w:val="none"/>
          <w:lang w:val="en-US" w:eastAsia="zh-CN"/>
        </w:rPr>
        <w:t xml:space="preserve">供应商</w:t>
      </w:r>
      <w:r>
        <w:rPr>
          <w:rFonts w:hint="eastAsia" w:asciiTheme="minorEastAsia" w:hAnsiTheme="minorEastAsia" w:eastAsiaTheme="minorEastAsia" w:cstheme="minorEastAsia"/>
          <w:b w:val="0"/>
          <w:bCs/>
          <w:color w:val="auto"/>
          <w:sz w:val="24"/>
          <w:szCs w:val="24"/>
          <w:highlight w:val="none"/>
          <w:lang w:val="en-US" w:eastAsia="zh-CN" w:bidi="ar-SA"/>
        </w:rPr>
        <w:t xml:space="preserve">的系统保障能力、运维服务能力提出了较高要求。所以供应商自2023年1月1日（以合同签订日期为准）以来，</w:t>
      </w:r>
      <w:r>
        <w:rPr>
          <w:rFonts w:hint="eastAsia" w:asciiTheme="minorEastAsia" w:hAnsiTheme="minorEastAsia" w:eastAsiaTheme="minorEastAsia" w:cstheme="minorEastAsia"/>
          <w:b w:val="0"/>
          <w:bCs w:val="0"/>
          <w:color w:val="auto"/>
          <w:sz w:val="24"/>
          <w:szCs w:val="24"/>
          <w:highlight w:val="none"/>
          <w:lang w:val="en-US" w:eastAsia="zh-CN"/>
        </w:rPr>
        <w:t xml:space="preserve">承接过类似项目业绩</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的优先。</w:t>
      </w:r>
      <w:r/>
    </w:p>
    <w:p>
      <w:pPr>
        <w:numPr>
          <w:ilvl w:val="0"/>
          <w:numId w:val="5"/>
        </w:num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技术方案要求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1.货物采购方案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（1）分批次供货计划，明确算力、存储、</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、机器人、工作站等到货时序；</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（2）原厂正品保障、授权及5年质保、硬盘不返还承诺；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（3）设备出厂检测报告、资质文件随货交付管理；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（4）到货开箱检验、不合格设备退换货应急措施；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（5）精密设备仓储、防尘防潮成品保护措施。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2.安装施工方案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（1）机房算力/存储/UPS、</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、报告厅声学、350M通信分区域施工流程；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（2）机柜布线、</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吊装、吸音材料铺设、设备接线标准化工艺；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（3）原有</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拆除利旧、机房错峰施工、公安现场文明及成品保护措施；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（4）施工对接、现场协调管理机制。</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3.资源安排</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质量控制及工期保障方案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（1）人员配置：项目负责人、软硬件工程师、3名专职研发人员、现场施工班组、安全员及岗位职责、在岗保障；</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（2）施工检测仪器、备用备件清单；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（3）60天总工期分段横道计划，明确设备到货、机房施工、软件部署、联调关键节点；</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）设备进场、施工工序、软件研发三级质检流程；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）算力集群、</w:t>
      </w:r>
      <w:r>
        <w:rPr>
          <w:rFonts w:hint="eastAsia" w:asciiTheme="minorEastAsia" w:hAnsiTheme="minorEastAsia" w:cstheme="minorEastAsia"/>
          <w:color w:val="auto"/>
          <w:sz w:val="24"/>
          <w:szCs w:val="24"/>
          <w:highlight w:val="none"/>
          <w:lang w:val="en-US" w:eastAsia="zh-CN"/>
        </w:rPr>
        <w:t xml:space="preserve">显示设备终端</w:t>
      </w:r>
      <w:r>
        <w:rPr>
          <w:rFonts w:hint="eastAsia" w:asciiTheme="minorEastAsia" w:hAnsiTheme="minorEastAsia" w:eastAsiaTheme="minorEastAsia" w:cstheme="minorEastAsia"/>
          <w:color w:val="auto"/>
          <w:sz w:val="24"/>
          <w:szCs w:val="24"/>
          <w:highlight w:val="none"/>
          <w:lang w:val="en-US" w:eastAsia="zh-CN"/>
        </w:rPr>
        <w:t xml:space="preserve">、平台功能验收质量标准；</w:t>
      </w:r>
      <w:r/>
    </w:p>
    <w:p>
      <w:pPr>
        <w:numPr>
          <w:ilvl w:val="0"/>
          <w:numId w:val="6"/>
        </w:num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供货滞后、施工冲突、开发延期等抢工补救措施。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4.应急</w:t>
      </w:r>
      <w:r>
        <w:rPr>
          <w:rFonts w:hint="eastAsia" w:asciiTheme="minorEastAsia" w:hAnsiTheme="minorEastAsia" w:cstheme="minorEastAsia"/>
          <w:b/>
          <w:bCs/>
          <w:color w:val="auto"/>
          <w:sz w:val="24"/>
          <w:szCs w:val="24"/>
          <w:highlight w:val="none"/>
          <w:lang w:val="en-US" w:eastAsia="zh-CN"/>
        </w:rPr>
        <w:t xml:space="preserve">及安全保障</w:t>
      </w:r>
      <w:r>
        <w:rPr>
          <w:rFonts w:hint="eastAsia" w:asciiTheme="minorEastAsia" w:hAnsiTheme="minorEastAsia" w:eastAsiaTheme="minorEastAsia" w:cstheme="minorEastAsia"/>
          <w:b/>
          <w:bCs/>
          <w:color w:val="auto"/>
          <w:sz w:val="24"/>
          <w:szCs w:val="24"/>
          <w:highlight w:val="none"/>
          <w:lang w:val="en-US" w:eastAsia="zh-CN"/>
        </w:rPr>
        <w:t xml:space="preserve">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（1）突发应急：供货故障、机房断电、算力宕机、软件bug、安保活动设备抢修处置方案。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）机房带电、高空吊装、蓄电池施工安全操作规范；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）公安内外网隔离、一机两用管控、警情数据保密制度；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）施工现场防火、临时用电、特种作业安全管理。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.系统调试及验收方案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（1）硬件单机、集群互联、大屏音频、通信设备分步调试步骤；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（2）算力、存储与公安现有视图库对接调试流程；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（3）软件平台、智能体、实战模型功能调试；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（4）到货、分项、6个月试运行、整体四级验收流程，不合格整改闭环要求。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.运维</w:t>
      </w:r>
      <w:r>
        <w:rPr>
          <w:rFonts w:hint="eastAsia" w:asciiTheme="minorEastAsia" w:hAnsiTheme="minorEastAsia" w:cstheme="minorEastAsia"/>
          <w:b/>
          <w:bCs/>
          <w:color w:val="auto"/>
          <w:sz w:val="24"/>
          <w:szCs w:val="24"/>
          <w:highlight w:val="none"/>
          <w:lang w:val="en-US" w:eastAsia="zh-CN"/>
        </w:rPr>
        <w:t xml:space="preserve">及售后</w:t>
      </w:r>
      <w:r>
        <w:rPr>
          <w:rFonts w:hint="eastAsia" w:asciiTheme="minorEastAsia" w:hAnsiTheme="minorEastAsia" w:eastAsiaTheme="minorEastAsia" w:cstheme="minorEastAsia"/>
          <w:b/>
          <w:bCs/>
          <w:color w:val="auto"/>
          <w:sz w:val="24"/>
          <w:szCs w:val="24"/>
          <w:highlight w:val="none"/>
          <w:lang w:val="en-US" w:eastAsia="zh-CN"/>
        </w:rPr>
        <w:t xml:space="preserve">服务方案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（1）2年：3人驻场研发</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12台专用工作站、年度平台/模型交付管控；</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（2）2研发完成后3年软件运维：99.5%系统可用率、分级故障响应、定期模型优化；</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（3）硬件全周期5年原厂质保、故障上门更换机制；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（4）月度巡检、重大活动现场保障、运维台账管理。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）各设备厂家7×24小时原厂技术支撑；</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）硬件运维、平台管理员、民警实操分层培训计划；</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）全套竣工图纸、软件文档、操作手册交付；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）质保期满成本维修、软件长期小幅免费升级承诺。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lang w:val="en-US" w:eastAsia="zh-CN"/>
        </w:rPr>
        <w:t xml:space="preserve">.算力本地化部署方案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（1）国产算力机柜布局、200G高速互联、机房供电散热整体架构；</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（2）服务器上架、集群搭建、国产软硬件适配实施步骤；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（3）算力负载均衡、高峰资源调度策略；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（4）分级权限、数据加密、内外网隔离安全部署；</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（5）算力监控告警、与区级公安云存储/视图库对接方案。</w:t>
      </w:r>
      <w:r/>
    </w:p>
    <w:p>
      <w:pPr>
        <w:numPr>
          <w:ilvl w:val="0"/>
          <w:numId w:val="0"/>
        </w:numPr>
        <w:ind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研发与驻场运维服务考核管理要求</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（一）考核说明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研发与驻场运维服务考核金额：12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服务周期：2年驻场研发服务，年度研发成果试运行验收合格后进入</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年软件运维服务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合同1年一签，考核合格可续签1年。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KPI权重：人员履约20%、研发成果交付70%、成果运维5%、工作站资产5%。</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基础要求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服务模式：乙方派驻专职团队驻场研发，研发周期2年，研发验收通过后接续提供</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年运维保障。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转运维硬性条件：全部研发成果满足招标文件技术要求、匹配甲方实际使用需求，完成试运行且出具甲方合格验收意见后方可进入运维服务期。</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硬性约束条款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（1）配置专职人员3名，所有人员仅为本项目服务，禁止跨项目兼职；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（2）配置</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套全新专属工作站，仅限本项目开发、调试、运维使用，服务到期全部移交甲方处置；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（3）年度交付清单：平台级应用≥2套、定制智能体≥10个、实战分析模型≥30个。</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驻场研发期KPI权重分值及对应金额表</w:t>
      </w:r>
      <w:r/>
    </w:p>
    <w:tbl>
      <w:tblPr>
        <w:tblStyle w:val="94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63"/>
        <w:gridCol w:w="1447"/>
        <w:gridCol w:w="1642"/>
        <w:gridCol w:w="4674"/>
      </w:tblGrid>
      <w:tr>
        <w:trPr>
          <w:tblCellSpacing w:w="15" w:type="dxa"/>
          <w:tblHeader/>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考核维度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权重占比</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对应金额</w:t>
            </w:r>
            <w:r/>
          </w:p>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tc>
        <w:tc>
          <w:tcPr>
            <w:tcW w:w="234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核心考核内容</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人员专职履约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3人全员驻场、无兼职、人员稳定、出勤合规、配合度达标</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研发成果交付</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93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平台软件、智能体、实战模型、全套技术文档、试运行验收进度与质量</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成果运维</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运维服务（每年度10%）</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工作站资产配置</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套为全新设备、硬件配置达标、台账完整、到期完整移交</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考核结算通用规则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扣款封顶约束：累计扣款最高不超过该维度对应总金额，重大违约情形不受下限限制；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不合格情况：（直接判定当期考核不合格、不予验收、拒付款项）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（1）查实项目工作人员在其他项目兼职；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（2）工作站使用二手、翻新设备或混用其他项目设备，非全新专用机型；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（3）核心交付物完全未产出（平台、智能体、模型数量不达标）；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（4）拒不配合试运行、无故拖延验收；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（5）发生数据泄露、系统重大安全事故、涉密违规事件。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优化版扣款细则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年度人员履约考核</w:t>
      </w:r>
      <w:r/>
    </w:p>
    <w:tbl>
      <w:tblPr>
        <w:tblStyle w:val="9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68"/>
        <w:gridCol w:w="3335"/>
        <w:gridCol w:w="4323"/>
      </w:tblGrid>
      <w:tr>
        <w:trPr>
          <w:tblCellSpacing w:w="15" w:type="dxa"/>
          <w:tblHeader/>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违规情形</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扣款标准</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补充约束说明</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在岗专职人员数量不足3人</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每缺少1人当月扣6000元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人员跨项目兼职查实</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单人单次扣10000元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24小时内更换合格人员；同一人员二次兼职追加扣8000元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核心人员无甲方书面许可私自替换</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无故缺勤、脱岗、未报备离岗</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单日扣500元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消极抵触甲方合理工作安排</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首次书面警告不扣款；二次扣3000元；三次扣8000元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判定依据以双方签字沟通记录、工作联系单为准</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年度研发成果交付板块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平台级应用软件（最低交付2套）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单套平台大面积功能不匹配招标及业务需求、无法试运行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扣款50000元/套；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单套仅少量功能缺陷，7日内可整改修复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扣款8000元/套；整改超7天未修复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eastAsiaTheme="minorEastAsia" w:cstheme="minorEastAsia"/>
          <w:color w:val="auto"/>
          <w:sz w:val="24"/>
          <w:szCs w:val="24"/>
          <w:highlight w:val="none"/>
        </w:rPr>
        <w:t xml:space="preserve">25000元/套；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两套平台全部无法达标交付，启动全额封顶扣减处置，本项不予验收。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定制场景智能体（最低交付10个）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单个智能体无法部署运行、无业务适配能力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扣款20000元/个；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智能体运行卡顿、逻辑输出偏差，小幅调试可修复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扣款6000元/个。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总数不足10个或无法达标交付模型数达到4个，启动全额封顶扣减处置，本项不予验收。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实战模型（最低交付30个）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实战模型质量：模型运算失真、失效，每个扣2000元；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模型总数不足30个或无法达标交付模型数达到10个，启动全额封顶扣减处置，本项目不予验收。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交付文档与验收进度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需求说明书、详细设计、测试报告、部署手册、培训手册、验收资料六大类文档，每缺失一类扣2000元；文档粗制滥造无法使用视同缺失；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工作站资产板块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未采用全新专用工作站、使用二手/混用其他项目设备：全额扣除资产对应</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0000元，另支付违约金15000元；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设备数量不足</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套：每少1套扣10000元；设备总数低于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套，全额扣除资产对应款项；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硬件配置达不到开发、运维标准：单次扣5000元，3日内完成硬件升级，逾期未整改扣款翻倍；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服务期内人为损坏、丢失设备：按采购原值全额赔偿；自然硬件损耗由乙方免费维保维修；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（5）2年</w:t>
      </w:r>
      <w:r>
        <w:rPr>
          <w:rFonts w:hint="eastAsia" w:asciiTheme="minorEastAsia" w:hAnsiTheme="minorEastAsia" w:eastAsiaTheme="minorEastAsia" w:cstheme="minorEastAsia"/>
          <w:color w:val="auto"/>
          <w:sz w:val="24"/>
          <w:szCs w:val="24"/>
          <w:highlight w:val="none"/>
        </w:rPr>
        <w:t xml:space="preserve">服务期满未完整移交</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套工作站、无规范资产台账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每套扣6000元；补齐台账并实物移交完成后可退还50%对应扣款。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运维服务期专项扣款（验收合格后</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年运维阶段）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系统全年综合可用率低于99.5%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每下降0.1%当月扣1500元；可用率低于98%判定运维重大瑕疵，强制全面整改；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系统大面积中断、模型瘫痪、智能体整体宕机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单次扣款4000元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20000元（按故障时长、影响业务范围分级）；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故障响应超时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未在约定时效对接处置单次扣1200元；修复超时每小时叠加扣800元；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月度巡检记录、数据备份日志、系统运行日志、运维月报任意一项缺失</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单次扣1500元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连续两月缺失扣款翻倍；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已上线模型、智能体性能衰减，乙方拒绝调优修复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单个模型扣2000元，单个智能体扣5000元。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整改减免机制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乙方收到书面整改通知后24小时启动整改、7日内全部整改核验通过，可申请减免本次扣款金额的30%；</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因甲方重大需求变更、甲方数据源中断、甲方场地/网络故障等甲方责任造成交付延期、功能瑕疵，不计乙方扣款，双方签署书面免责确认单留存归档。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项目负责人及</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名专职服务人员岗位职责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项目总体负责人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统筹项目全周期进度、质量、范围管控、风险识别处置，衔接研发、试运行、运维交接全流程；</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对接甲方对接人，组织需求评审、变更确认、里程碑评审、验收材料编制提交；</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严格管控团队人员在岗状态，保证</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人全程专职无兼职、人员稳定；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牵头组织问题闭环、整改落实、考核对接、资产台账统筹管理。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平台研发工程师（1人）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全权负责不少于2套平台级应用软件的需求拆解、代码开发、单元测试、联调适配；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完成平台业务流程、权限体系、接口交互、页面功能、数据存储逻辑开发实现；</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全程配合系统试运行、缺陷迭代修复、验收测试、交付文档编制。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智能体/模型算法工程师（</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负责2套定制场景智能体的框架搭建、逻辑开发、场景适配、部署上线；</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完成30个及以上实战分析模型设计、样本训练、效果验证、部署调优，优先保障重点人员管控、流动人口分析两大核心模型精度；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研发期持续迭代优化模型准确率；运维期按需对衰减模型重新训练调参。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年度验收合格标准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交付≥2套平台级应用软件，全部功能满足招标文件技术条款与甲方实际业务使用需求；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交付≥10个定制场景智能体，部署上线、业务流程可正常闭环运行；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交付≥30个实战分析模型，重点人员管控、流动人口分析模型验证有效、输出结果满足实战要求；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系统完成3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6个月试运行周期，整体运行稳定、无持续性重大功能缺陷、数据计算准确；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3名专职人员全程履约在岗，无兼职、无大面积擅自离岗更换情况；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（6）12</w:t>
      </w:r>
      <w:r>
        <w:rPr>
          <w:rFonts w:hint="eastAsia" w:asciiTheme="minorEastAsia" w:hAnsiTheme="minorEastAsia" w:eastAsiaTheme="minorEastAsia" w:cstheme="minorEastAsia"/>
          <w:color w:val="auto"/>
          <w:sz w:val="24"/>
          <w:szCs w:val="24"/>
          <w:highlight w:val="none"/>
        </w:rPr>
        <w:t xml:space="preserve">套全新专用工作站全部配置到位，硬件满足开发运维需求，设备台账清晰完整；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全套纸质+电子交付文档齐全规范，甲方出具盖章版《竣工验收意见书》。</w:t>
      </w:r>
      <w:r/>
    </w:p>
    <w:p>
      <w:pPr>
        <w:pStyle w:val="952"/>
        <w:spacing w:line="360" w:lineRule="auto"/>
        <w:rPr>
          <w:rFonts w:hint="eastAsia" w:asciiTheme="minorEastAsia" w:hAnsiTheme="minorEastAsia" w:eastAsiaTheme="minorEastAsia" w:cstheme="minorEastAsia"/>
          <w:color w:val="auto"/>
          <w:sz w:val="24"/>
          <w:szCs w:val="24"/>
          <w:highlight w:val="none"/>
          <w:lang w:val="en-US" w:eastAsia="zh-CN"/>
        </w:rPr>
        <w:sectPr>
          <w:footerReference w:type="default" r:id="rId11"/>
          <w:footnotePr/>
          <w:endnotePr/>
          <w:type w:val="nextPage"/>
          <w:pgSz w:w="11906" w:h="16838" w:orient="portrait"/>
          <w:pgMar w:top="1270" w:right="1080" w:bottom="1270" w:left="1080" w:header="851" w:footer="992" w:gutter="0"/>
          <w:cols w:num="1" w:sep="0" w:space="1701"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包二招标清单及技术参数要求</w:t>
      </w:r>
      <w:r/>
    </w:p>
    <w:tbl>
      <w:tblPr>
        <w:tblStyle w:val="94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690"/>
        <w:gridCol w:w="5856"/>
        <w:gridCol w:w="494"/>
        <w:gridCol w:w="494"/>
        <w:gridCol w:w="494"/>
      </w:tblGrid>
      <w:tr>
        <w:trPr>
          <w:trHeight w:val="521"/>
          <w:tblHeader/>
        </w:trPr>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Borders>
              <w:top w:val="single" w:color="auto" w:sz="4" w:space="0"/>
              <w:left w:val="single" w:color="auto" w:sz="4" w:space="0"/>
              <w:bottom w:val="single" w:color="000000" w:sz="4" w:space="0"/>
              <w:right w:val="single" w:color="auto" w:sz="4" w:space="0"/>
            </w:tcBorders>
            <w:tcW w:w="692" w:type="dxa"/>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项目</w:t>
            </w:r>
            <w:r>
              <w:rPr>
                <w:rFonts w:ascii="黑体" w:hAnsi="黑体" w:eastAsia="黑体" w:cs="宋体"/>
                <w:color w:val="auto"/>
                <w:sz w:val="21"/>
                <w:szCs w:val="21"/>
                <w:highlight w:val="none"/>
                <w14:ligatures w14:val="none"/>
              </w:rPr>
              <w:t xml:space="preserve">名称</w:t>
            </w:r>
            <w:r/>
          </w:p>
        </w:tc>
        <w:tc>
          <w:tcPr>
            <w:tcBorders>
              <w:top w:val="single" w:color="auto" w:sz="4" w:space="0"/>
              <w:left w:val="single" w:color="auto" w:sz="4" w:space="0"/>
              <w:bottom w:val="single" w:color="000000" w:sz="4" w:space="0"/>
              <w:right w:val="single" w:color="auto" w:sz="4" w:space="0"/>
            </w:tcBorders>
            <w:tcW w:w="5856" w:type="dxa"/>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w:t>
            </w:r>
            <w:r>
              <w:rPr>
                <w:rFonts w:ascii="黑体" w:hAnsi="黑体" w:eastAsia="黑体" w:cs="宋体"/>
                <w:color w:val="auto"/>
                <w:sz w:val="21"/>
                <w:szCs w:val="21"/>
                <w:highlight w:val="none"/>
                <w14:ligatures w14:val="none"/>
              </w:rPr>
              <w:t xml:space="preserve">量</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三、应用系统建设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算法应用处理终端</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1、配置2颗CPU，核数≥10核，主频≥2.4GHz；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2、内存：配置内存≥128GDDR4；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3、硬盘：配置≥4块480GSSD硬盘；</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4、阵列卡：配置SAS_HBA卡，支持RAID0/1/10；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5、PCIE扩展：≥6个PCIE扩展插槽；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6、网口：板载2个千兆电口，2个万兆光口；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7、其他接口：1个RJ45管理接口，后置2个USB3.0接口，前置2个USB2.0接口，1个VGA接口；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8、电源：550W（1+1）高效铂金CRPS冗余电源。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算力服务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★租赁算力服务器总算力（FP16）不低于4PFLOPS，并配置满足使用需求的相应网络设备，部署于盐都公安机房使用。</w:t>
            </w:r>
            <w:r/>
          </w:p>
          <w:p>
            <w:pPr>
              <w:jc w:val="left"/>
              <w:spacing w:after="0" w:line="240" w:lineRule="auto"/>
              <w:widowControl/>
              <w:rPr>
                <w:rFonts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提供承诺函加盖投标人公章或电子签章扫描上传至电子投标文件</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14:ligatures w14:val="none"/>
              </w:rPr>
              <w:t xml:space="preserve">国产品牌，机架式服务器，</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设备配置≥4颗国产化ARM架构CPU处理器，单颗处理器物理核心数≥48核，主频≥2.6GHz，CPU符合安全可靠测评要求</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单台</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FP16算力≥2.24P</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14:ligatures w14:val="none"/>
              </w:rPr>
              <w:t xml:space="preserve">配置≥8块AI处理器，单AI处理器显存配置≥64GB HBM，单AI处理器FP16算力≥280TFLOPS，FP32算力≥75TFLOPS，AI处理器间互联带宽≥390GB/s。</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val="0"/>
                <w:bCs w:val="0"/>
                <w:color w:val="auto"/>
                <w:sz w:val="16"/>
                <w:szCs w:val="16"/>
                <w:highlight w:val="none"/>
                <w14:ligatures w14:val="none"/>
              </w:rPr>
              <w:t xml:space="preserve">3</w:t>
            </w:r>
            <w:r>
              <w:rPr>
                <w:rFonts w:hint="eastAsia" w:ascii="宋体" w:hAnsi="宋体" w:eastAsia="宋体" w:cs="宋体"/>
                <w:b w:val="0"/>
                <w:bCs w:val="0"/>
                <w:color w:val="auto"/>
                <w:sz w:val="16"/>
                <w:szCs w:val="16"/>
                <w:highlight w:val="none"/>
                <w:lang w:eastAsia="zh-CN"/>
                <w14:ligatures w14:val="none"/>
              </w:rPr>
              <w:t xml:space="preserve">、</w:t>
            </w:r>
            <w:r>
              <w:rPr>
                <w:rFonts w:hint="eastAsia" w:ascii="宋体" w:hAnsi="宋体" w:eastAsia="宋体" w:cs="宋体"/>
                <w:b w:val="0"/>
                <w:bCs w:val="0"/>
                <w:color w:val="auto"/>
                <w:sz w:val="16"/>
                <w:szCs w:val="16"/>
                <w:highlight w:val="none"/>
                <w14:ligatures w14:val="none"/>
              </w:rPr>
              <w:t xml:space="preserve">内存配置≥512GB；</w:t>
            </w:r>
            <w:r>
              <w:rPr>
                <w:rFonts w:ascii="宋体" w:hAnsi="宋体" w:eastAsia="宋体" w:cs="宋体"/>
                <w:b/>
                <w:bCs/>
                <w:color w:val="auto"/>
                <w:sz w:val="16"/>
                <w:szCs w:val="16"/>
                <w:highlight w:val="none"/>
                <w14:ligatures w14:val="none"/>
              </w:rPr>
              <w:br/>
            </w:r>
            <w:r>
              <w:rPr>
                <w:rFonts w:hint="eastAsia" w:ascii="宋体" w:hAnsi="宋体" w:eastAsia="宋体" w:cs="宋体"/>
                <w:color w:val="auto"/>
                <w:sz w:val="16"/>
                <w:szCs w:val="16"/>
                <w:highlight w:val="none"/>
                <w14:ligatures w14:val="none"/>
              </w:rPr>
              <w:t xml:space="preserve">4、AI处理器间支持8卡fullmesh全互联；</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5、服务器管理系统支持国产自研管理芯片，管理芯片厂家为国产厂家；</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6、</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支持热插拔SATA/NVMe/SSD硬盘，硬盘配置：2块480G SSD企业级硬盘，2块3840G NV</w:t>
            </w:r>
            <w:r>
              <w:rPr>
                <w:rFonts w:hint="eastAsia" w:ascii="宋体" w:hAnsi="宋体" w:eastAsia="宋体" w:cs="宋体"/>
                <w:color w:val="auto"/>
                <w:sz w:val="16"/>
                <w:szCs w:val="16"/>
                <w:highlight w:val="none"/>
                <w:lang w:val="en-US" w:eastAsia="zh-CN"/>
                <w14:ligatures w14:val="none"/>
              </w:rPr>
              <w:t xml:space="preserve">M</w:t>
            </w:r>
            <w:r>
              <w:rPr>
                <w:rFonts w:hint="eastAsia" w:ascii="宋体" w:hAnsi="宋体" w:eastAsia="宋体" w:cs="宋体"/>
                <w:color w:val="auto"/>
                <w:sz w:val="16"/>
                <w:szCs w:val="16"/>
                <w:highlight w:val="none"/>
                <w14:ligatures w14:val="none"/>
              </w:rPr>
              <w:t xml:space="preserve">e SSD企业级硬盘；</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7、</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配置磁盘阵列卡，支持RAID 0/1/10/5/50/6/60，缓存≥2G，配置掉电保护电容；</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8、</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支持AI处理器直出200G ROCE网络接口保证节点间互联带宽；</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9、服务器具备产品质量检测能力，包含CPU检测、内存检测、硬盘检测、网卡PCIe外设检测、电源功耗管理、BMC故障检测等；</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0</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配置≥8个200Gb光口（含200G光模块）；≥4个25Gb光口（含25G光模块）；</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1</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配置≥4块2600W交流电源模块，支持2+2冗余；</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2</w:t>
            </w:r>
            <w:r>
              <w:rPr>
                <w:rFonts w:hint="eastAsia" w:ascii="宋体" w:hAnsi="宋体" w:eastAsia="宋体" w:cs="宋体"/>
                <w:color w:val="auto"/>
                <w:sz w:val="16"/>
                <w:szCs w:val="16"/>
                <w:highlight w:val="none"/>
                <w14:ligatures w14:val="none"/>
              </w:rPr>
              <w:t xml:space="preserve">、为保证处理器间的兼容性最佳（生态、性能、软件兼容性等）和国产自主可控，CPU、AI处理器使用同厂家国产自研芯片</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lang w:val="en-US"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3</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提供本地化部署服务、通用大模型适配服务、网络适配、运维服务、存储介质保留服务。</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云存储节点</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7"/>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器配置：≥2颗64位多核处理器，≥64GB内存，内存支持扩展到≥256GB，内置不少于三块960GBSSD固态硬盘，内置≥2个千兆数据网口，≥2个万兆数据光口，≥1个千兆管理口配置，≥6个风扇，支持风扇热插拔冗余温控调速风扇，支持热插拔1+1AC220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2、可接入2T/3T/4T/6T/8T/10T/12T/14T/16T/18T/20T/25T/26TSATA/SAS硬盘；支持NL-SAS硬盘、HDD硬盘、SSD硬盘、氦气硬盘、空气硬盘；支持CMR或SMR硬盘；支持硬盘交错/分时启动，节省功耗；</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★3、具有不低于48块硬盘热插拔插槽，内置企业级硬盘总容量不低于800TB；支持硬盘热插拔设备在读写数据时，热插拔设备内的任意块硬盘，设备正常运行不宕机，硬盘不损坏，数据不丢失，业务不中断；</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4"/>
              </w:numPr>
              <w:ind w:left="0" w:firstLine="320"/>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支持集群管理功能，包括集群单元弹性扩容、负载均衡、故障迁移等；支持集群节点生命周期管理，支持集群节点服务启动/停止，集群节点服务组建、扩展、删除；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5、支持存储实时视频、视频片段、图片及伴生的智能结构化数据，支持根据结构化数据的类型检索视频，检索条件包括前端点位ID、时间段、视频目标类型；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11、具备一键快速部署能力，存储节点并行部署，互不影响，单台部署时间150秒内完成。快速部署过程中，自动检测节点是否符合配置要求，当检测到当前节点的配置与预期有差距时给予报警提示；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★13、投标人所投视频云存储服务器设备需与盐都区公安原云存储管理系统及公安视频图像信息应用平台无缝对接，对接过程中产生的额外费用由投标人自行承担。</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none" w:color="000000"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驻场研发运维服务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8"/>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服务2年（研发成果满足招标文件及招标人使用需求，并通过试运行合格验收后，进入运维服务期，服务期3年），年度建设内容包括不限于：不少于2个的平台级应用软件、10个定制场景的智能体开发，重点人员管控、流动人口分析等不少于30个的实战分析模型；</w:t>
            </w:r>
            <w:r/>
          </w:p>
          <w:p>
            <w:pPr>
              <w:numPr>
                <w:ilvl w:val="0"/>
                <w:numId w:val="8"/>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不少于3人为本项目提供专职驻场服务，不得在其他项目兼职。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3、需配置满足开发及运维使用需求的全新专用研发/运维工作站，要求不少于12套，满足设计及实际使用需求，服务期满后资产交由甲方处理。</w:t>
            </w:r>
            <w:r>
              <w:rPr>
                <w:rFonts w:ascii="宋体" w:hAnsi="宋体" w:eastAsia="宋体" w:cs="宋体"/>
                <w:color w:val="auto"/>
                <w:sz w:val="16"/>
                <w:szCs w:val="16"/>
                <w:highlight w:val="none"/>
                <w14:ligatures w14:val="none"/>
              </w:rPr>
              <w:br/>
            </w: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救援机器人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9"/>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机器人规格：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1、机器人采用内置摄像头设计，可以实时回传图像至遥控器显示；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2、传感器设计：机器人具有正反面识别和入水开机2组传感器感知检测；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3、救援抓握把手：具有大于或等于4个可握持把手，以保障最多的救援能力；</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4、抓握绳索：索孔位分布于机器人两侧，数量不低于6个，绳索直径≥8mm，破断拉力≥700kg；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▲5、拖曳能力：≥1000kg；</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6、有效浮力：将不小于32kg的重物放置在机器人主体上，机器人；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7、依然能在水中漂浮；</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8、承载重量：≥300kg；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9、拉力：≥23kg(230N)；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10、防护等级：≥IP67；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11、最大抗风浪等级：空载下不低于5级风浪，载人时不低于4级风浪；</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12、机器人具备失联返航和一键返航，触发返航功能后，机器人返航至入水点，返航精度不超过1m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13、低电量返航：机器人电量低至20%时，触发低电量返航功能，具备强制取消返航功能。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14、控制距离：≥1500m（水平高度不低于10米）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15、续航时间：≥90min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16、空载下航速需25km/h以上，载人速度需9km/h以上（承载80kg人体）；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▲17、入水自动扶正功能：机器人具备正面朝上姿态检测功能，并具备自动翻转功能，入水自动翻转扶正时间不超过1.7s；</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二、遥控器规格：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1、遥控器的防护等级：遥控器的防护等级不低于IP67。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2、遥控器显示屏规格：尺寸：≥35×17（mm），分辨率：≥160×80（ppi）</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3、遥控器可调节机器人速度、推进器跑偏矫正、自扶正开关、屏幕亮度、机器人休眠设置等参数。</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4、遥控器防沉性能：遥控器掉入水中不沉，处于漂浮状态。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5、遥控器显示：遥控器屏幕具备机器人信号强度、操作模式、自扶正是否开启、定位、机器人电量、功率、电池电压、电池温度、机器人航行速度显示（精确到0.1m/s）、遥控器电量、遥控操纵方向显示。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6、遥控器续航：≥10h</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7、定速巡航：遥控器具备一键定速巡航功能，可随时按下按键，保持现有航速航行。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8、对码功能：遥控器具备与机器人快速对码功能，并操控对应机器人。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9、遥控器扩展图传屏幕：遥控器可外接图传屏幕，具备实时接收摄像头图传视频。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三、含照明灯、喊话器、充电支架，遥控器无线充电及设备航空箱。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四、指挥通信保障建设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基站信道机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★满足分局现有350M电台基站接入及使用需求。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总体指标：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（1）频率范围：330MHz～400MHz;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（2）工作电压：13.6V±15%DC；</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（3）电流消耗：≤1.4（待机）≤12A（发射）；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（4）最大功耗：135W；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（5）信道间隔：12.5kHz；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（6）占用带宽：≤8.5kHz@-3dB；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（7）工作循环：100%；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（8）工作温度：-30℃～+60℃；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（9）储存温度：-40℃～+85℃。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（1）工作频段：360.8MHz～366.2MHz；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（2）载波频率稳定度：≤±0.5ppm；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（3）功率：5W～50W（连续可调）；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（4）最大输出功率：47dBm±1.5；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（5）发射电流：≤12A（50W）；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（6）邻道功率：≥60dB@12.5kHz；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（7）传导/辐射杂散：9kHz—1GHz：≤-36dBm（运行）/；≤-57dBm（待机）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（8）互调衰减：≤-60dB；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收信机指标：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（1）工作频段：350.8MHz～356.2MHz；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（2）最大数字接收灵敏度：≤-118dBm@BER5%；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（3）数字接收基本灵敏度：≤-85dBm@BER0%；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（4）共信道抑制：-12dB～0dB；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（5）邻道选择性：≥60dB@12.5kHz；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（6）杂散响应抗干扰/互调杂散：≥70dB；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（7）阻塞：≥84dB；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（8）传导/辐射杂散：9KHz～1GHz:≤-57dBm；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加密卡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SIM卡通信加密芯片，满足商用密码认证要求；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★2、根据实际终端机型配置，满足盐都分局现有移动警务系统兼容性要求。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数据交换安全介质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16GB容量，满足公安网双向数据交换。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机房UPS主机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1、双变换高频纯在线主机三进三出，容量不低于40KVA；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2、输入电压支持380/400/415VAC，输入频率：50/60HZ，输入功率因数≥0.99；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3、输出电压支持380/400/415VAC；输出功率因数：不低于0.9；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4、外接电池组电压可调：若未来遭遇个别电池故障，需要维护、更换时，可现场灵活调节电池组的只数；在配置12V电池的情况下，可根据现场电池节数从32/34/36/38/40节调整，无须整组更换；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5、输入电压为额定值，输出接额定阻性负载，系统效率：100%阻性负载≥95.4%，50%阻性负载≥95.6%，30%阻性负载≥95.4%；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6、输入电压为额定值，输出为阻性负载，调节输出电流，使输出功率为额定值的125%时，机器正常工作时间应≥10min；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7、输入电流谐波成份：100％额定非线性负载≤4.7%，50％额定非线性负载≤7.0%，30％额定非线性负载≤10.7%。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蓄电池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1、采用阀控式密封铅酸蓄电池，单节蓄电池标称电压12V，单节蓄电池容量：≥200Ah，含电池连接线；</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2、低温敏感性：完全充电的蓄电池以10A电流放电至单体蓄电池电压为1.80V时终止；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3、气体析出：在20℃及单体蓄电池电压为Uflo(V)浮充条件下Ge≤0.007mL，在20℃及单体蓄电池电压为2.4(V)充电条件下Ge≤0.03mL；</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4、阻燃性能：蓄电池壳、盖、安全阀、连接条保护罩应符合GB/T2408-2021标准的要求。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电池柜</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定制电池柜（架），每台电池柜（架）可安装1组蓄电池，每组蓄电池应配套独立的蓄电池开关、蓄电池间的连接线缆、电池组到UPS主机的连接线缆、散力架底座，满足电池安装使用需求。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电力电缆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ZCYJV-4*25+1*16国标电力电缆，含主辅材满足使用需求。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显示终端设备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1"/>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主体规格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倒装COB封装全彩色高清LED显示一体机，像素点间距≤1.25mm，像素点密度≥640000点/平方米；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发光像素RGB比例为1:1:1，不接受虚拟像素、像素引擎、动态像素，大屏幕显示尺寸长6.6米，高≥2.025米，显示面积≥13.365平方米；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1、像素组成：采用全倒装COB封装芯片，全彩1R1G1B全倒装显示；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2、支持电源、模块、系统完全前/后维护；箱体材质采用全压铸铝材质，箱体、后壳一次性整体压铸成型，符合GB/T15115-2009标准，抗拉强度不小于270mpa，屈服强度不小于150mpa，硬度不小于70HBS；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3、整屏失控率小于百万分之一，出厂时为0，连续失控点为0；对比度不小于15000：1；灰度等级不小于65536级；屏幕水平视角及垂直视角大于170度；刷新频率不小于3840Hz，换帧频率不小于60Hz；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屏幕亮度0~800cd/㎡无级可调，支持手动/自动/程控调节，扩展支持根据环境照度变化自动调节亮度；显示屏具备低亮高灰高刷特性，50%~100%亮度时为16bits灰度，20%亮度时为15bits灰度，且刷新率不低于3840Hz，在低亮度情况下仍然能保持高刷新率及灰度；显示屏具备1000~15000K可调色温范围，色域≥126%NTSC，提供大屏幕色域色温可视化调节系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产品采用自主研发的技术先进的防尘降噪散热设计，具备优良的防护特性，产品达到IP65防护等级，具备良好的降噪散热性能，使得显示屏平均无故障工作时间不小于10万小时、使用寿命不小于12万小时、可用度不小于0.9999999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6、显示屏采用自主研发的平整度调节机构，使得相邻模组间、箱体间及整屏平整度≤0.1mm；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7、LED显示屏支持单点逐点亮度及色度校正，支持出厂校正及现场校正；模组、单元箱体及整屏亮度均匀性不小于99.5%、色度均匀性±0.0015Cx,Cy以内；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按照SJ/T11590-2016《LED显示屏图像质量主观评价方法》的要求，大屏静态图像清晰度、运动图像清晰度、大面积色彩还原、图像均匀性、拼装精度、灰阶表现力1（亮度鉴别等级）、灰阶表现力2（伪轮廓现象）、回扫线或频闪现象、虚影现象、图像稳定性评价等级均为优；</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依据IEC/TR62778-2014标准，视网膜蓝光危害LB≤3W/(m²·sr)，在10000s内不造成对视网膜蓝光危害(LB)。进行光生物安全评估检测，光生物安全检测属无危害类:30000s曝辐中不造成光化学紫外危害(ES)，在1000s内不造成近紫外危害并在10s内不造成对视网膜热危害(LR)，在1000s内不造成对眼睛的红外辐射危害(EIR)。</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二、视频传输（满足本项目使用需求）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1路DVI视频源输入，1路HDMI视频源输入，1路音频输入6路千兆网口输出，每个网口最大支持65万像素，1路DVI视频源输出，可用于级联或监视，1路HDMI视频源输出，可用于级联或监视，1路方口USB控制接口，2路UART网口控制接口，可用于设备级联，最大支持20台设备级联，支持逐点亮色度校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三、安装支架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支持前维护（挂墙安装），根据现场情况利旧结构安装。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控制系统设备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2"/>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1、图像拼接控制器采用全硬件结构设计，无需Windows/Linux等操作系统，完全杜绝计算机病毒侵扰；各个图像处理板卡及功能模块均为插卡设计；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2、每张输入/输出板卡独立工作，任意板卡故障不影响其他板卡或模块正常工作，不会对系统整体功能造成影响；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3、支持8路HDMI输入、8路HDMI输出，支持扩展DP、SDI、DL DVI、HDMI、IP视频、DVI、VGA、YPbPr、S-Video、RGB、CVBS、HDBaseT等信号输出，支持自定义分辨率输出，可手动设置非标准输出分辨率；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4、单个信号开窗操作瞬时执行，单窗口开窗速度小于15ms，场景调取响应速度小于15ms，支持输入端到输出端延时小于30ms；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▲5、图像拼接控制器具有分布式通道管理功能，输出通道与显示单元可以任意连接，无需遵循既定连接次序，通过软件拖放信号至任意通道即可实现任意窗口、整屏拼接显示。</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b/>
                <w:bCs/>
                <w:color w:val="auto"/>
                <w:sz w:val="16"/>
                <w:szCs w:val="16"/>
                <w:highlight w:val="none"/>
                <w14:ligatures w14:val="none"/>
              </w:rPr>
              <w:br/>
            </w:r>
            <w:r>
              <w:rPr>
                <w:rFonts w:ascii="宋体" w:hAnsi="宋体" w:eastAsia="宋体" w:cs="宋体"/>
                <w:color w:val="auto"/>
                <w:sz w:val="16"/>
                <w:szCs w:val="16"/>
                <w:highlight w:val="none"/>
                <w14:ligatures w14:val="none"/>
              </w:rPr>
              <w:t xml:space="preserve">二、播控软件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支持信号输入源的管理功能，支持M×N拼接显示，所有信号窗口与应用窗口可以在全墙任意位置、任意大小、任意顺序进行缩放、拖动、叠加、漫游显示，在LED显示屏的任意位置、任意窗口大小开窗，支持任意信号窗口的置顶，屏上的窗口支持一键铺满单元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2.多个用户可以使用客户端或浏览器（包括IE等）同时登陆管理设备，扩展支持远程多鼠标控制功能，不同网络客户端可通过自己的鼠标登录处理器，实现对处理器桌面应用窗口的操作控制；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3.允许同一用户账号在多台工作站同时在线对大屏幕进行操作；允许多台控制终端同时对大屏幕进行操作，互不影响，每个用户可在本地工作站显示器运用大屏幕操作管理界面直接进行各个窗口的所有操作；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4.具备完整的二次开发API接口，提供对其他系统的控制接口，以支持实现与集中控制系统、中控系统等第三方系统或设备的集成与二次开发，满足用户特别控制需要及大屏幕应用的二次开发需要。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三、配电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1、功率15KW，所有硬件设备符合电子专业相关国家、国际标准；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输入接线方式：国家3相5线制，标准配置屏体到配电箱设备3米内电缆；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输入电压（V）：3相380V；输入频率（HZ）：50/60Hz；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2、含PLC智能模块配套PLC智能配电管理系统软件，远程电脑控制，实时状态显示，标配功能：1、本地手动逐级上电2、远程控制3、状态监测4、远程定时控制5、温度探测器。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显示系统移装</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1、原LED显示系统部分设备拆除移装；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2、根据现场情况和显示面积定制钢结构安装支架及包边；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3、显示系统配电箱1套及用电接入；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4、含配套扩声设备1套、后端控制设备1套，满足设计及实际使用需求。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环保声学改造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一、建筑声学专项深化报告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1、根据报告厅</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lang w:val="en-US" w:eastAsia="zh-CN"/>
                <w14:ligatures w14:val="none"/>
              </w:rPr>
              <w:t xml:space="preserve">讯（询）问室</w:t>
            </w:r>
            <w:r>
              <w:rPr>
                <w:rFonts w:ascii="宋体" w:hAnsi="宋体" w:eastAsia="宋体" w:cs="宋体"/>
                <w:color w:val="auto"/>
                <w:sz w:val="16"/>
                <w:szCs w:val="16"/>
                <w:highlight w:val="none"/>
                <w14:ligatures w14:val="none"/>
              </w:rPr>
              <w:t xml:space="preserve">主要使用需求，现场测试声音数据，确定各项建筑声学设计技术指标；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2、根据资料及文件(项目建筑图纸、装修修图、设备技术指标等)制作建筑模型；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3、声学模拟软件进行声学深化仿真模拟计算：包括不限于SPL声场不均匀度模拟、RT30混响时间、D50声场模拟、STI模拟等；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4、根据模拟情况，对室内精装需要修改的部分进行提资，确保厅堂满足使用要求；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5、出具专业声学模拟报告</w:t>
            </w:r>
            <w:r>
              <w:rPr>
                <w:rFonts w:ascii="宋体" w:hAnsi="宋体" w:eastAsia="宋体" w:cs="宋体"/>
                <w:b w:val="0"/>
                <w:bCs w:val="0"/>
                <w:color w:val="auto"/>
                <w:sz w:val="16"/>
                <w:szCs w:val="16"/>
                <w:highlight w:val="none"/>
                <w14:ligatures w14:val="none"/>
              </w:rPr>
              <w:t xml:space="preserve">（要求为第三方专业检测机构报告）</w:t>
            </w:r>
            <w:r>
              <w:rPr>
                <w:rFonts w:ascii="宋体" w:hAnsi="宋体" w:eastAsia="宋体" w:cs="宋体"/>
                <w:color w:val="auto"/>
                <w:sz w:val="16"/>
                <w:szCs w:val="16"/>
                <w:highlight w:val="none"/>
                <w14:ligatures w14:val="none"/>
              </w:rPr>
              <w:t xml:space="preserve">，包括不限于室内混响时间、清晰度、明晰度等内容；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6、协助业主正确选择声学材料，审核声学供应商提供的专业产品的声学性能；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7、配合业主关于会场改造相关会议，协助参与设计和施工中的有关声学的工作。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二、会场建筑声学改造</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1、防火等级：声学基材及框体结构为A级不燃；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2、有效规格：厚度≥30mm，单幅尺寸根据会场情况定制，总面积≥110㎡；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3、基材：定制声学材料，满足会场使用需求，零甲醛环保棉符合国际标准的E0环保；</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4、边框：轻质高强度框体。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调音台</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1、显示屏：9”高清晰彩色TFT液晶显示屏，电容触摸屏,1024*600，支持多点触摸操作；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2、音频输入：共20路输入，其中12路Mic/Line，2组立体声输入、2组数字立体声输入（USB盘播放、USB声卡）；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3、音频输出：共14路输出，1组L/R立体声主输出（XLR平衡接口），6路BUS输出（XLR平衡接口），1组立体声监听输出（1/4”TRS立体声接口），2组立体声数字输出（USB盘录音、USB声卡）；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4、输入通道处理：所有输入通道具备独立的低切、PEQ、压缩器、噪声门、相位处理；所有麦克风输入通道具有可编程数字式增益控制及独立的幻象电源控制；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出通道处理：所有BUS输出通道具有独立的分频器、PEQ、压缩器、延时器处理，并支持2个独立可插入式31段GEQ处理功能；立体声主输出通道具有独立的分频器、PEQ、压缩器、延时器处理，并具有独立的31段GEQ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6、所有的输入通道或BUS输出通道都可以自由LINK为立体声状态；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7、所有通道标号可自定义名称及颜色，所有输入输出通道可支持任意的自定义复制；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8、所有输入、输出通道的均衡器、压缩器、噪声门具有独立的预设存储调用功能，并支持U盘导入及导出；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9、所有输入、输出通道具有独立的通道预设功能，支持通道预设的存储和调用，并支持U盘导入及导出；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10、内置U盘播放器，支持实时的立体声录音及播放功能；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11、内置USB声卡，支持与PC连接的实时录音及播放功能；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12、编组：8路独立的可编程DCA编组（带静音），3个Mute Groups静音编组；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13、效果：2个专业效果器，具有独立发送总线、多种效果类型可选；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14、支持立体声双模蓝牙V5.0输入、兼容蓝牙V4.2和V2.1+EDR，输入音量可以控制；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15、支持用户场景存储及调用功能，所有场景支持通过U盘导入和导出；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16、独立的管理员密码及可自定义的用户密码保护功能，可对系统实现分权限管理，管理员密码保护对本地操作及移动端访问同时有效；</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17、内置基于HTML5技术的web服务器，自带Wi-Fi热点，跨平台支持IOS、Android、Windows等各种移动端的访问，支持多屏互动、全功能操作。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反馈声抑制器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1、具有两个独立的音频处理通道，每通道24个独立的全自动式数字陷波滤波器；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2、频率响应：20Hz～20kHz，±0.3dB；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3、总谐波失真：0.005%；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4、动态范围：&gt;105dB，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5、滤波器数量不小于：24x2；</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6、输入阻抗：40KΩ；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7、输出阻抗：150Ω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数字音频处理器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1、不少于18x16通道的全混音矩阵。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2、不少于8路平衡输入、8路平衡输出、32位DSP芯片处理，96kHz采样率，24bit AD/DA转换。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3、带有+48V幻象电源。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4、每个输入通道独享（含Close）共5级反馈抑制能力，针对单个音源抑制处理而不影响整个系统链路原始音色。</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5、具备输入、输出两组独立的数字调音台DCA功能。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6、12个用户预设，整机状态和每个预设都可以单独存储和调用ID设置功能可以级联控制250台机器。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7、符合AoIP网络音频流传输框架，全面支持AES67跨协议、跨网段传输。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8、DSP具备信号发生器功能，可系统信号检测、校准工作，内置AEC远程声学回声消除模块，具备自动混音、自动增益控制、自动反馈抑制、噪声抑制等功能。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9、可扩展Dante网络音频传输卡，具备网络音频传输能力。</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音柱音箱</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1、中音单元：不少于4个4〞中音单元，高音单元：不少于12个0.75〞高音单元；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2、一带三同轴结构，拥有更好的离轴响应；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3、中音单元采用复合碳纤维振膜，高音单元采用纳米碳纤维振膜；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4、15°固定垂直覆盖角，100°水平指向，准确指向，可减少声反射，实现语言清晰度得到优化的功能；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5、频率响应：不劣于80Hz-20kHz（±3dB）/60Hz-25kHz（-10dB）；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6、灵敏度：≥98dB；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7、标称阻抗：8 Ohm；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8、额定功率：≥200W（AES）；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9、标称覆盖角：≥100°（H）×15°（V）；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10、最大声压级：≥121dB SPL ，129dB SPL peak。</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二通道功率放大器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3"/>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立体声功放≥:400W×2（8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），600W×2（4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），700W×2（2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），桥接模式：1000W（1x8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），1200W（1x4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 </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2、总谐波失真：&lt;0.5dB；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3、频率响应不劣于20Hz to 20kHz,+/-1dB；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4、输入阻抗：20K/10K；</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5、输入灵敏度：32dB、1.0V、0.775V；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6、信噪比：&gt;95dB（20Hz-20KHz）；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7、转换速率：&gt;30V/us；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8、阻尼系数：&gt;500；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9、输出级：Class D；</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10、输出阻抗：≥2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11、带OLED显示屏，显示设备温度、音量大小及模式；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12、保护功能：软启动、直流、短路、削波、失真、过热、过温等；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13、采用智能温控调速散热系统，保证机器的高稳定性；</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14、采用功率智能恒定技术，输出功率智能控制；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15、采用谐振软开关技术，杜绝电源开关产生的冲击；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一拖四无线会议话筒</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1、四通道的接收设计，可连接四支无线会议话筒；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2、内置20组预设频率模组，纯自动选讯接收方式；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3、红外数据自动同步功能：4个独立的红外对频按键，一键自动对频；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4、UHF530-670MHz频段载波；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5、带2.4寸高亮度IPS TFT显示屏，可显示话筒频点、电量、开关状态；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6、话筒带发言计时功能；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7、方形麦克风，可调俯仰角度。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数字会议主机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1、支持专用电缆手拉手连接或Cat5e线缆手拉手连接；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2、系统主机双CPU架构的核心处理IC，控制DSP和AD/DA转换IC提供两路音频线路输入输出和录音输入输出功能；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3、会议主机采用全数字音频传输技术（包括控制数据和音频数据），采用专用的高性能DSP进行处理，支持48kHz音频采样频率；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4、主机音频模式：普通模式、远程会议模式和外部处理模式可选；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5、内置自动通讯终止功能，防止系统中某段线缆被拔掉而导致整个系统崩溃；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6、具备≥2.8"LCD屏显示状态和配置信息，步进式旋钮可快速选择和设置LCD菜单；</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7、具有警报接口，短接可实现警报功能；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8、系统主机具有软开关按键和机械开关按键，软开关按键关机需多重确认且可通过网络UDP的方式控制主机关机；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9、系统主机内置高通滤波器低切开关，方便在需要时切去声音中的低频成分；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11、系统最大开启数量≥8支会议单元，支持≥5种发言模式；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12、系统主机可以独立调节话筒增益和均衡（≥5段），可针对不同的发言者声音特点调节不同的音量和频响；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13、系统支持Web页面控制以及后台控制电脑操作软件控制；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16、信噪比≥100dBA；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17、总谐波失真≤0.05%。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方短杆会议主席单元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2、主席单元具有优先权按键及会议控制功能；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方短杆会议代表单元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4"/>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延长线缆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1、用于系统主机与会议单元延长连接线，30米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电源时序器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1、通道数量：≥8路；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2、电源输入：≥32A空开保护；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3、电源输出：≥8路，每路≥13A，采用带安全防护门多功能插座，整机最大负载≥40A；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4、可设置长通通道，可设置回路间延时开/关时间；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5、交流电输入：180V~260V；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6、标准负载功率≥2200W/通道；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7、每步时间：≥1s；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8、RS232中RS485控制。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安装用辅材、线材、接插件</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1、线材：国标纯铜，屏蔽抗干扰，满足系统传输要求；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2、接插件：接触可靠，镀金/镀镍，适配对应接口；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3、安装辅材：符合国标规格，满足安装固定需求。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PDU</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符合国标6位10A 250VAC五孔插座的电源插排，电气性能符合CCC认证标准。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bl>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ind w:firstLine="482"/>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本项目采用综合评分法。</w:t>
      </w:r>
      <w:r>
        <w:rPr>
          <w:rFonts w:hint="eastAsia" w:ascii="宋体" w:hAnsi="宋体" w:eastAsia="宋体" w:cs="宋体"/>
          <w:bCs/>
          <w:color w:val="auto"/>
          <w:sz w:val="24"/>
          <w:szCs w:val="24"/>
          <w:highlight w:val="none"/>
          <w:lang w:val="en-US" w:eastAsia="zh-CN"/>
        </w:rPr>
        <w:t xml:space="preserve">本项目为2个包，兼投不兼中，开评标顺序为：包一、包二。若投标人在包一中中标，其投标报价仍参与包二评审，但最终不作为包二中标候选人推荐。</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w:t>
      </w:r>
      <w:r>
        <w:rPr>
          <w:rFonts w:hint="eastAsia" w:ascii="宋体" w:hAnsi="宋体" w:eastAsia="宋体" w:cs="宋体"/>
          <w:bCs/>
          <w:color w:val="auto"/>
          <w:sz w:val="24"/>
          <w:szCs w:val="24"/>
          <w:highlight w:val="none"/>
          <w:lang w:val="en-US" w:eastAsia="zh-CN"/>
        </w:rPr>
        <w:t xml:space="preserve">并列</w:t>
      </w: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选取1名中标候选人。</w:t>
      </w:r>
      <w:r/>
    </w:p>
    <w:p>
      <w:pPr>
        <w:pStyle w:val="956"/>
        <w:ind w:firstLine="441"/>
        <w:keepLines w:val="0"/>
        <w:keepNext w:val="0"/>
        <w:pageBreakBefore w:val="0"/>
        <w:spacing w:before="120" w:beforeAutospacing="0" w:after="120"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（1）本项目若不专门面向中小企业采购，对</w:t>
      </w:r>
      <w:r>
        <w:rPr>
          <w:rFonts w:hint="eastAsia" w:ascii="宋体" w:hAnsi="宋体" w:eastAsia="宋体" w:cs="宋体"/>
          <w:bCs/>
          <w:color w:val="auto"/>
          <w:sz w:val="24"/>
          <w:szCs w:val="24"/>
          <w:highlight w:val="none"/>
          <w:lang w:val="en-US" w:eastAsia="zh-CN"/>
        </w:rPr>
        <w:t xml:space="preserve">符合规定的</w:t>
      </w:r>
      <w:r>
        <w:rPr>
          <w:rFonts w:hint="eastAsia" w:ascii="宋体" w:hAnsi="宋体" w:eastAsia="宋体" w:cs="宋体"/>
          <w:bCs/>
          <w:color w:val="auto"/>
          <w:sz w:val="24"/>
          <w:szCs w:val="24"/>
          <w:highlight w:val="none"/>
        </w:rPr>
        <w:t xml:space="preserve">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（1）本项目对监狱和戒毒企业（简称监狱企业）视同小型、微型企业，给予20%的价格扣除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pStyle w:val="95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包一</w:t>
      </w:r>
      <w:r>
        <w:rPr>
          <w:rFonts w:hint="eastAsia" w:ascii="宋体" w:hAnsi="宋体"/>
          <w:b/>
          <w:bCs/>
          <w:color w:val="auto"/>
          <w:sz w:val="21"/>
          <w:szCs w:val="21"/>
          <w:highlight w:val="none"/>
          <w:lang w:eastAsia="zh-CN"/>
        </w:rPr>
        <w:t xml:space="preserve">）</w:t>
      </w:r>
      <w:r/>
    </w:p>
    <w:tbl>
      <w:tblPr>
        <w:tblStyle w:val="9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915"/>
        <w:gridCol w:w="6308"/>
        <w:gridCol w:w="850"/>
      </w:tblGrid>
      <w:tr>
        <w:trPr>
          <w:trHeight w:val="576"/>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本项目采用低价优先法计算，即满足招标文件要求且投标价格最低的投标报价为评标基准价，其价格分为满分：30分。</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其他投标人的价格分统一按照下列公式计算：投标报价得分=(评标基准价／投标报价)×30（按四舍五入取至小数点后两位）。</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分，扣完为止；</w:t>
            </w:r>
            <w:r/>
          </w:p>
          <w:p>
            <w:pPr>
              <w:ind w:firstLine="42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样品</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评测</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投标人根据招标文件设备技术要求，提供所投</w:t>
            </w:r>
            <w:r>
              <w:rPr>
                <w:rFonts w:hint="eastAsia" w:asciiTheme="minorEastAsia" w:hAnsiTheme="minorEastAsia" w:eastAsiaTheme="minorEastAsia" w:cstheme="minorEastAsia"/>
                <w:b/>
                <w:color w:val="auto"/>
                <w:sz w:val="21"/>
                <w:szCs w:val="21"/>
                <w:highlight w:val="none"/>
                <w:lang w:val="en-US" w:eastAsia="zh-CN"/>
              </w:rPr>
              <w:t xml:space="preserve">核心</w:t>
            </w:r>
            <w:r>
              <w:rPr>
                <w:rFonts w:hint="eastAsia" w:asciiTheme="minorEastAsia" w:hAnsiTheme="minorEastAsia" w:eastAsiaTheme="minorEastAsia" w:cstheme="minorEastAsia"/>
                <w:b/>
                <w:color w:val="auto"/>
                <w:sz w:val="21"/>
                <w:szCs w:val="21"/>
                <w:highlight w:val="none"/>
              </w:rPr>
              <w:t xml:space="preserve">产品设备样机（</w:t>
            </w:r>
            <w:r>
              <w:rPr>
                <w:rFonts w:hint="eastAsia" w:asciiTheme="minorEastAsia" w:hAnsiTheme="minorEastAsia" w:cstheme="minorEastAsia"/>
                <w:b/>
                <w:color w:val="auto"/>
                <w:sz w:val="21"/>
                <w:szCs w:val="21"/>
                <w:highlight w:val="none"/>
                <w:lang w:eastAsia="zh-CN"/>
              </w:rPr>
              <w:t xml:space="preserve">双目双向结构化相机</w:t>
            </w:r>
            <w:r>
              <w:rPr>
                <w:rFonts w:hint="eastAsia" w:asciiTheme="minorEastAsia" w:hAnsiTheme="minorEastAsia" w:eastAsiaTheme="minorEastAsia" w:cstheme="minorEastAsia"/>
                <w:b/>
                <w:color w:val="auto"/>
                <w:sz w:val="21"/>
                <w:szCs w:val="21"/>
                <w:highlight w:val="none"/>
              </w:rPr>
              <w:t xml:space="preserve">）进行测试，样机提供一台，测试内容如下：</w:t>
            </w:r>
            <w:r/>
          </w:p>
          <w:p>
            <w:pPr>
              <w:numPr>
                <w:ilvl w:val="0"/>
                <w:numId w:val="15"/>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视频质量（本项最高得4分）。</w:t>
            </w:r>
            <w:r>
              <w:rPr>
                <w:rFonts w:hint="eastAsia" w:asciiTheme="minorEastAsia" w:hAnsiTheme="minorEastAsia" w:eastAsiaTheme="minorEastAsia" w:cstheme="minorEastAsia"/>
                <w:color w:val="auto"/>
                <w:sz w:val="21"/>
                <w:szCs w:val="21"/>
                <w:highlight w:val="none"/>
              </w:rPr>
              <w:t xml:space="preserve">评测视频清晰度，分辨率，观察人脸特征、车辆号牌及外部特征等，可放大3-5倍查看实际效果等进行辅助测试；</w:t>
            </w:r>
            <w:r>
              <w:rPr>
                <w:rFonts w:hint="eastAsia" w:asciiTheme="minorEastAsia" w:hAnsiTheme="minorEastAsia" w:cstheme="minorEastAsia"/>
                <w:color w:val="auto"/>
                <w:sz w:val="21"/>
                <w:szCs w:val="21"/>
                <w:highlight w:val="none"/>
                <w:lang w:val="en-US" w:eastAsia="zh-CN"/>
              </w:rPr>
              <w:t xml:space="preserve">运维平台巡检</w:t>
            </w:r>
            <w:r>
              <w:rPr>
                <w:rFonts w:hint="eastAsia" w:asciiTheme="minorEastAsia" w:hAnsiTheme="minorEastAsia" w:eastAsiaTheme="minorEastAsia" w:cstheme="minorEastAsia"/>
                <w:color w:val="auto"/>
                <w:sz w:val="21"/>
                <w:szCs w:val="21"/>
                <w:highlight w:val="none"/>
              </w:rPr>
              <w:t xml:space="preserve">视频质量是否</w:t>
            </w:r>
            <w:r>
              <w:rPr>
                <w:rFonts w:hint="eastAsia" w:asciiTheme="minorEastAsia" w:hAnsiTheme="minorEastAsia" w:cstheme="minorEastAsia"/>
                <w:color w:val="auto"/>
                <w:sz w:val="21"/>
                <w:szCs w:val="21"/>
                <w:highlight w:val="none"/>
                <w:lang w:val="en-US" w:eastAsia="zh-CN"/>
              </w:rPr>
              <w:t xml:space="preserve">正常，异常为</w:t>
            </w:r>
            <w:r>
              <w:rPr>
                <w:rFonts w:hint="eastAsia" w:asciiTheme="minorEastAsia" w:hAnsiTheme="minorEastAsia" w:eastAsiaTheme="minorEastAsia" w:cstheme="minorEastAsia"/>
                <w:color w:val="auto"/>
                <w:sz w:val="21"/>
                <w:szCs w:val="21"/>
                <w:highlight w:val="none"/>
              </w:rPr>
              <w:t xml:space="preserve">存在明显黑屏、白屏、画面缺失、偏色等问题。演示时提供测试时间段白天和夜间有人员、车辆通行各</w:t>
            </w:r>
            <w:r>
              <w:rPr>
                <w:rFonts w:hint="eastAsia" w:asciiTheme="minorEastAsia" w:hAnsiTheme="minorEastAsia" w:cstheme="minorEastAsia"/>
                <w:color w:val="auto"/>
                <w:sz w:val="21"/>
                <w:szCs w:val="21"/>
                <w:highlight w:val="none"/>
                <w:lang w:val="en-US" w:eastAsia="zh-CN"/>
              </w:rPr>
              <w:t xml:space="preserve">4个时间点的运维平台巡检结果</w:t>
            </w:r>
            <w:r>
              <w:rPr>
                <w:rFonts w:hint="eastAsia" w:asciiTheme="minorEastAsia" w:hAnsiTheme="minorEastAsia" w:eastAsiaTheme="minorEastAsia" w:cstheme="minorEastAsia"/>
                <w:color w:val="auto"/>
                <w:sz w:val="21"/>
                <w:szCs w:val="21"/>
                <w:highlight w:val="none"/>
              </w:rPr>
              <w:t xml:space="preserve">，由评审专家现场评审：</w:t>
            </w:r>
            <w:r/>
          </w:p>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运维平台巡检结果全部正常的得满分4分；运维平台巡检结果异常问题</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cstheme="minorEastAsia"/>
                <w:color w:val="auto"/>
                <w:sz w:val="21"/>
                <w:szCs w:val="21"/>
                <w:highlight w:val="none"/>
                <w:lang w:val="en-US" w:eastAsia="zh-CN"/>
              </w:rPr>
              <w:t xml:space="preserve">有一项扣1分，扣完为止。</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录像质量（本项最高得2分）。</w:t>
            </w:r>
            <w:r>
              <w:rPr>
                <w:rFonts w:hint="eastAsia" w:asciiTheme="minorEastAsia" w:hAnsiTheme="minorEastAsia" w:eastAsiaTheme="minorEastAsia" w:cstheme="minorEastAsia"/>
                <w:color w:val="auto"/>
                <w:sz w:val="21"/>
                <w:szCs w:val="21"/>
                <w:highlight w:val="none"/>
              </w:rPr>
              <w:t xml:space="preserve">评测视频录像的稳定性，是否存在录像丢失。演示时提供平台测试相机录像监测数据录屏</w:t>
            </w:r>
            <w:r>
              <w:rPr>
                <w:rFonts w:hint="eastAsia" w:asciiTheme="minorEastAsia" w:hAnsiTheme="minorEastAsia" w:cstheme="minorEastAsia"/>
                <w:color w:val="auto"/>
                <w:sz w:val="21"/>
                <w:szCs w:val="21"/>
                <w:highlight w:val="none"/>
                <w:lang w:val="en-US" w:eastAsia="zh-CN"/>
              </w:rPr>
              <w:t xml:space="preserve">/截屏</w:t>
            </w:r>
            <w:r>
              <w:rPr>
                <w:rFonts w:hint="eastAsia" w:asciiTheme="minorEastAsia" w:hAnsiTheme="minorEastAsia" w:eastAsiaTheme="minorEastAsia" w:cstheme="minorEastAsia"/>
                <w:color w:val="auto"/>
                <w:sz w:val="21"/>
                <w:szCs w:val="21"/>
                <w:highlight w:val="none"/>
              </w:rPr>
              <w:t xml:space="preserve">，由评审专家现场评审：相机视频录像连贯稳定得2分，录像偶有丢失近乎稳定得1分，录像不稳定、存在录像明显丢失现象不得分。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抓拍数量（本项最高得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通过视频联网平台，分人脸、人体、机动车、非机动车、人车关联同拍计算测试期间内抓拍总量。演示时提供联网平台数据抓拍量截图，由评审专家现场评审：每项均以投标人抓拍数量图片最多者为参考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分，数量达80%（含）-95%以上的得2分，低于80%不得分。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抓拍质量。（本项最高得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人像图片低质量评测（运维平台人像图片低质量测试），人像图片解析质量（以运维平台实际统计的量为准），由评审专家现场评审。人像图片低质量评测提供测试期间运维平台低质量图片数截图，以低质量图片数最低者为标准，数量在1.05（含）倍以下的得3分，数量在1.05-1.2（含）倍的得1.5分，数量高于1.2倍的不得分</w:t>
            </w:r>
            <w:r>
              <w:rPr>
                <w:rFonts w:hint="eastAsia" w:asciiTheme="minorEastAsia" w:hAnsiTheme="minorEastAsia" w:cstheme="minorEastAsia"/>
                <w:color w:val="auto"/>
                <w:sz w:val="21"/>
                <w:szCs w:val="21"/>
                <w:highlight w:val="none"/>
                <w:lang w:eastAsia="zh-CN"/>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特殊场景抓拍压力测试（本项最高得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在人员通行集中区域或模拟人员集中快速通过，测试实际抓拍人数（以解析平台数据为准）。提供解析平台可置信图片数。由评审专家现场评审：以可置信图片最多者为标准，数量达95%（含）以上的得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分，数量达90%（含）-95%以上的得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分，数量达80%（含）-90%以上的得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分，低于80%不得分。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测</w:t>
            </w:r>
            <w:r>
              <w:rPr>
                <w:rFonts w:hint="eastAsia" w:asciiTheme="minorEastAsia" w:hAnsiTheme="minorEastAsia" w:eastAsiaTheme="minorEastAsia" w:cstheme="minorEastAsia"/>
                <w:color w:val="auto"/>
                <w:sz w:val="21"/>
                <w:szCs w:val="21"/>
                <w:highlight w:val="none"/>
              </w:rPr>
              <w:t xml:space="preserve">试说明：</w:t>
            </w:r>
            <w:r/>
          </w:p>
          <w:p>
            <w:pPr>
              <w:numPr>
                <w:ilvl w:val="0"/>
                <w:numId w:val="16"/>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投标人在2026年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日9：00至2026年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：00期间，至</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eastAsiaTheme="minorEastAsia" w:cstheme="minorEastAsia"/>
                <w:color w:val="auto"/>
                <w:sz w:val="21"/>
                <w:szCs w:val="21"/>
                <w:highlight w:val="none"/>
              </w:rPr>
              <w:t xml:space="preserve">提交样品（联系人：</w:t>
            </w:r>
            <w:r>
              <w:rPr>
                <w:rFonts w:hint="eastAsia" w:asciiTheme="minorEastAsia" w:hAnsiTheme="minorEastAsia" w:cstheme="minorEastAsia"/>
                <w:color w:val="auto"/>
                <w:sz w:val="21"/>
                <w:szCs w:val="21"/>
                <w:highlight w:val="none"/>
                <w:u w:val="single"/>
                <w:lang w:val="en-US" w:eastAsia="zh-CN"/>
              </w:rPr>
              <w:t xml:space="preserve">周工</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电</w:t>
            </w:r>
            <w:r>
              <w:rPr>
                <w:rFonts w:hint="eastAsia" w:asciiTheme="minorEastAsia" w:hAnsiTheme="minorEastAsia" w:cstheme="minorEastAsia"/>
                <w:color w:val="auto"/>
                <w:sz w:val="21"/>
                <w:szCs w:val="21"/>
                <w:highlight w:val="none"/>
                <w:u w:val="single"/>
                <w:lang w:val="en-US" w:eastAsia="zh-CN"/>
              </w:rPr>
              <w:t xml:space="preserve">话18914640777</w:t>
            </w:r>
            <w:r>
              <w:rPr>
                <w:rFonts w:hint="eastAsia" w:asciiTheme="minorEastAsia" w:hAnsiTheme="minorEastAsia" w:eastAsiaTheme="minorEastAsia" w:cstheme="minorEastAsia"/>
                <w:color w:val="auto"/>
                <w:sz w:val="21"/>
                <w:szCs w:val="21"/>
                <w:highlight w:val="none"/>
              </w:rPr>
              <w:t xml:space="preserve">）；2026年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：00期间，</w:t>
            </w:r>
            <w:r>
              <w:rPr>
                <w:rFonts w:hint="eastAsia" w:asciiTheme="minorEastAsia" w:hAnsiTheme="minorEastAsia" w:cstheme="minorEastAsia"/>
                <w:color w:val="auto"/>
                <w:sz w:val="21"/>
                <w:szCs w:val="21"/>
                <w:highlight w:val="none"/>
                <w:lang w:val="en-US" w:eastAsia="zh-CN"/>
              </w:rPr>
              <w:t xml:space="preserve">由招标代理以抽签形式确定投标人安装与调试顺序，投标人分时间段在</w:t>
            </w:r>
            <w:r>
              <w:rPr>
                <w:rFonts w:hint="eastAsia" w:asciiTheme="minorEastAsia" w:hAnsiTheme="minorEastAsia" w:eastAsiaTheme="minorEastAsia" w:cstheme="minorEastAsia"/>
                <w:color w:val="auto"/>
                <w:sz w:val="21"/>
                <w:szCs w:val="21"/>
                <w:highlight w:val="none"/>
              </w:rPr>
              <w:t xml:space="preserve">招标人指定位置完成测试设备的安装与调试，样品测试时间为2026年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日全天（0时至24时）。2026年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:00，</w:t>
            </w:r>
            <w:r>
              <w:rPr>
                <w:rFonts w:hint="eastAsia" w:asciiTheme="minorEastAsia" w:hAnsiTheme="minorEastAsia" w:cstheme="minorEastAsia"/>
                <w:color w:val="auto"/>
                <w:sz w:val="21"/>
                <w:szCs w:val="21"/>
                <w:highlight w:val="none"/>
                <w:lang w:val="en-US" w:eastAsia="zh-CN"/>
              </w:rPr>
              <w:t xml:space="preserve">招标代理在</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cstheme="minorEastAsia"/>
                <w:color w:val="auto"/>
                <w:sz w:val="21"/>
                <w:szCs w:val="21"/>
                <w:highlight w:val="none"/>
                <w:lang w:val="en-US" w:eastAsia="zh-CN"/>
              </w:rPr>
              <w:t xml:space="preserve">将</w:t>
            </w:r>
            <w:r>
              <w:rPr>
                <w:rFonts w:hint="eastAsia" w:asciiTheme="minorEastAsia" w:hAnsiTheme="minorEastAsia" w:eastAsiaTheme="minorEastAsia" w:cstheme="minorEastAsia"/>
                <w:color w:val="auto"/>
                <w:sz w:val="21"/>
                <w:szCs w:val="21"/>
                <w:highlight w:val="none"/>
              </w:rPr>
              <w:t xml:space="preserve">测试结果进行拷贝并密封</w:t>
            </w:r>
            <w:r>
              <w:rPr>
                <w:rFonts w:hint="eastAsia" w:asciiTheme="minorEastAsia" w:hAnsiTheme="minorEastAsia" w:cstheme="minorEastAsia"/>
                <w:color w:val="auto"/>
                <w:sz w:val="21"/>
                <w:szCs w:val="21"/>
                <w:highlight w:val="none"/>
                <w:lang w:val="en-US" w:eastAsia="zh-CN"/>
              </w:rPr>
              <w:t xml:space="preserve">交于投标人</w:t>
            </w:r>
            <w:r>
              <w:rPr>
                <w:rFonts w:hint="eastAsia" w:asciiTheme="minorEastAsia" w:hAnsiTheme="minorEastAsia" w:eastAsiaTheme="minorEastAsia" w:cstheme="minorEastAsia"/>
                <w:color w:val="auto"/>
                <w:sz w:val="21"/>
                <w:szCs w:val="21"/>
                <w:highlight w:val="none"/>
              </w:rPr>
              <w:t xml:space="preserve">，由评标委员会进行评审打分。</w:t>
            </w:r>
            <w:r/>
          </w:p>
          <w:p>
            <w:pPr>
              <w:numPr>
                <w:ilvl w:val="0"/>
                <w:numId w:val="0"/>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投标人需提供样品参加测试，如不参加测试本项不得分，参加测试的样品均封存，本项目合同签订后，退还未中标投标人样品。</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2、同类相机安装于同一点位同一横杆，指向同一区域范围。横杆安装位置由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3、相机安装调试由投标人安装在招标人指定位置，安装调试时间应当在指定时间内完成。测试时间为24小时。</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4、图片解析由</w:t>
            </w:r>
            <w:r>
              <w:rPr>
                <w:rFonts w:hint="eastAsia" w:asciiTheme="minorEastAsia" w:hAnsiTheme="minorEastAsia" w:eastAsiaTheme="minorEastAsia" w:cstheme="minorEastAsia"/>
                <w:color w:val="auto"/>
                <w:sz w:val="21"/>
                <w:szCs w:val="21"/>
                <w:highlight w:val="none"/>
                <w:lang w:val="en-US" w:eastAsia="zh-CN"/>
              </w:rPr>
              <w:t xml:space="preserve">分局</w:t>
            </w:r>
            <w:r>
              <w:rPr>
                <w:rFonts w:hint="eastAsia" w:asciiTheme="minorEastAsia" w:hAnsiTheme="minorEastAsia" w:eastAsiaTheme="minorEastAsia" w:cstheme="minorEastAsia"/>
                <w:color w:val="auto"/>
                <w:sz w:val="21"/>
                <w:szCs w:val="21"/>
                <w:highlight w:val="none"/>
              </w:rPr>
              <w:t xml:space="preserve">图片解析平台数据为准。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、对测试的数据可以提出复核，但不接受相机安装环境</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网络稳定性、第三方平台软件公平性等因素提出复核和重新测试要求。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、如果遇到招标人方面因技术或者其他原因无法完成某项测试的，该项测试所有投标人均得满分。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、不同投标人提交的测试样品如为同一品牌、同一型号的，由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随机抽签确定参与测试的样品，测试结果针对以上投标人均有效，得分相同。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、演示图片、视频、截图、录屏等均由招标人</w:t>
            </w:r>
            <w:r>
              <w:rPr>
                <w:rFonts w:hint="eastAsia" w:asciiTheme="minorEastAsia" w:hAnsiTheme="minorEastAsia" w:cstheme="minorEastAsia"/>
                <w:color w:val="auto"/>
                <w:sz w:val="21"/>
                <w:szCs w:val="21"/>
                <w:highlight w:val="none"/>
                <w:lang w:val="en-US" w:eastAsia="zh-CN"/>
              </w:rPr>
              <w:t xml:space="preserve">在监督人员</w:t>
            </w:r>
            <w:r>
              <w:rPr>
                <w:rFonts w:hint="eastAsia" w:asciiTheme="minorEastAsia" w:hAnsiTheme="minorEastAsia" w:eastAsiaTheme="minorEastAsia" w:cstheme="minorEastAsia"/>
                <w:color w:val="auto"/>
                <w:sz w:val="21"/>
                <w:szCs w:val="21"/>
                <w:highlight w:val="none"/>
              </w:rPr>
              <w:t xml:space="preserve">见证下在相关平台下载、截取或录制后存入2份空白U盘（投标人自行提供2份U盘，U盘容量不低于</w:t>
            </w:r>
            <w:r>
              <w:rPr>
                <w:rFonts w:hint="eastAsia" w:asciiTheme="minorEastAsia" w:hAnsi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G，支持USB3.0以上接口），由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将两份U盘分别放入投标人事先盖好密封章（公章）的2份信封密封后，再由投标人的委托人（</w:t>
            </w:r>
            <w:r>
              <w:rPr>
                <w:rFonts w:hint="eastAsia" w:asciiTheme="minorEastAsia" w:hAnsiTheme="minorEastAsia" w:cstheme="minorEastAsia"/>
                <w:b/>
                <w:bCs/>
                <w:color w:val="auto"/>
                <w:sz w:val="21"/>
                <w:szCs w:val="21"/>
                <w:highlight w:val="none"/>
                <w:lang w:val="en-US" w:eastAsia="zh-CN"/>
              </w:rPr>
              <w:t xml:space="preserve">送样及拷贝人员</w:t>
            </w:r>
            <w:r>
              <w:rPr>
                <w:rFonts w:hint="eastAsia" w:asciiTheme="minorEastAsia" w:hAnsiTheme="minorEastAsia" w:eastAsiaTheme="minorEastAsia" w:cstheme="minorEastAsia"/>
                <w:b/>
                <w:bCs/>
                <w:color w:val="auto"/>
                <w:sz w:val="21"/>
                <w:szCs w:val="21"/>
                <w:highlight w:val="none"/>
              </w:rPr>
              <w:t xml:space="preserve">需提供投标人的授权委托书原件，并与投标文件中的委托人一致</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在封口处签字，一份交由招标人保管（备用，在开标时招标人带至开标现场），一份由投标人保管。投标人保管的U盘</w:t>
            </w:r>
            <w:r>
              <w:rPr>
                <w:rFonts w:hint="eastAsia" w:asciiTheme="minorEastAsia" w:hAnsiTheme="minorEastAsia" w:cstheme="minorEastAsia"/>
                <w:color w:val="auto"/>
                <w:sz w:val="21"/>
                <w:szCs w:val="21"/>
                <w:highlight w:val="none"/>
                <w:lang w:val="en-US" w:eastAsia="zh-CN"/>
              </w:rPr>
              <w:t xml:space="preserve">的测试结果</w:t>
            </w:r>
            <w:r>
              <w:rPr>
                <w:rFonts w:hint="eastAsia" w:asciiTheme="minorEastAsia" w:hAnsiTheme="minorEastAsia" w:eastAsiaTheme="minorEastAsia" w:cstheme="minorEastAsia"/>
                <w:color w:val="auto"/>
                <w:sz w:val="21"/>
                <w:szCs w:val="21"/>
                <w:highlight w:val="none"/>
              </w:rPr>
              <w:t xml:space="preserve">在投标截止时间前</w:t>
            </w:r>
            <w:r>
              <w:rPr>
                <w:rFonts w:hint="eastAsia" w:asciiTheme="minorEastAsia" w:hAnsiTheme="minorEastAsia" w:cstheme="minorEastAsia"/>
                <w:color w:val="auto"/>
                <w:sz w:val="21"/>
                <w:szCs w:val="21"/>
                <w:highlight w:val="none"/>
                <w:lang w:val="en-US" w:eastAsia="zh-CN"/>
              </w:rPr>
              <w:t xml:space="preserve">与投标文件一并上传</w:t>
            </w:r>
            <w:r>
              <w:rPr>
                <w:rFonts w:hint="eastAsia" w:asciiTheme="minorEastAsia" w:hAnsiTheme="minorEastAsia" w:eastAsiaTheme="minorEastAsia" w:cstheme="minorEastAsia"/>
                <w:color w:val="auto"/>
                <w:sz w:val="21"/>
                <w:szCs w:val="21"/>
                <w:highlight w:val="none"/>
              </w:rPr>
              <w:t xml:space="preserve">。如遇造假质疑，与招标人保管U盘比对。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bookmarkStart w:id="197" w:name="_Hlk181289326"/>
            <w:r>
              <w:rPr>
                <w:rFonts w:hint="eastAsia" w:asciiTheme="minorEastAsia" w:hAnsiTheme="minorEastAsia" w:cstheme="minorEastAsia"/>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综合</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1、投标人具有</w:t>
            </w:r>
            <w:r>
              <w:rPr>
                <w:rFonts w:hint="eastAsia" w:asciiTheme="minorEastAsia" w:hAnsiTheme="minorEastAsia" w:eastAsiaTheme="minorEastAsia" w:cstheme="minorEastAsia"/>
                <w:b/>
                <w:bCs w:val="0"/>
                <w:color w:val="auto"/>
                <w:sz w:val="21"/>
                <w:szCs w:val="21"/>
                <w:highlight w:val="none"/>
                <w:lang w:val="en-US" w:eastAsia="zh-CN"/>
              </w:rPr>
              <w:t xml:space="preserve">质量管理体系认证证书、环境管理体系认证证书、职业健康安全管理体系认证证书、信息安全管理体系认证证书、信息技术服务管理体系认证证书</w:t>
            </w:r>
            <w:r>
              <w:rPr>
                <w:rFonts w:hint="eastAsia" w:asciiTheme="minorEastAsia" w:hAnsiTheme="minorEastAsia" w:eastAsiaTheme="minorEastAsia" w:cstheme="minorEastAsia"/>
                <w:bCs/>
                <w:color w:val="auto"/>
                <w:sz w:val="21"/>
                <w:szCs w:val="21"/>
                <w:highlight w:val="none"/>
                <w:lang w:val="en-US" w:eastAsia="zh-CN"/>
              </w:rPr>
              <w:t xml:space="preserve">，每提供一个证书得1分，本项最高得5分。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根据投标人对本项目的充分理解，提供</w:t>
            </w:r>
            <w:r>
              <w:rPr>
                <w:rFonts w:hint="eastAsia" w:asciiTheme="minorEastAsia" w:hAnsiTheme="minorEastAsia" w:cstheme="minorEastAsia"/>
                <w:color w:val="auto"/>
                <w:sz w:val="21"/>
                <w:szCs w:val="21"/>
                <w:highlight w:val="none"/>
                <w:lang w:val="en-US" w:eastAsia="zh-CN"/>
              </w:rPr>
              <w:t xml:space="preserve">本项目的</w:t>
            </w:r>
            <w:r>
              <w:rPr>
                <w:rFonts w:hint="eastAsia" w:asciiTheme="minorEastAsia" w:hAnsiTheme="minorEastAsia" w:eastAsiaTheme="minorEastAsia" w:cstheme="minorEastAsia"/>
                <w:color w:val="auto"/>
                <w:sz w:val="21"/>
                <w:szCs w:val="21"/>
                <w:highlight w:val="none"/>
              </w:rPr>
              <w:t xml:space="preserve">实施方案，包括：实施整体方案、进度控制方案、质量保障方案、安全管理方案等。</w:t>
            </w:r>
            <w:r/>
          </w:p>
          <w:p>
            <w:pPr>
              <w:pStyle w:val="973"/>
              <w:numPr>
                <w:ilvl w:val="0"/>
                <w:numId w:val="0"/>
              </w:numPr>
              <w:contextualSpacing w:val="0"/>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w:t>
            </w:r>
            <w:r>
              <w:rPr>
                <w:rFonts w:hint="eastAsia" w:asciiTheme="minorEastAsia" w:hAnsiTheme="minorEastAsia" w:eastAsiaTheme="minorEastAsia" w:cstheme="minorEastAsia"/>
                <w:b/>
                <w:color w:val="auto"/>
                <w:sz w:val="21"/>
                <w:szCs w:val="21"/>
                <w:highlight w:val="none"/>
              </w:rPr>
              <w:t xml:space="preserve">项目实施整体方案</w:t>
            </w:r>
            <w:r>
              <w:rPr>
                <w:rFonts w:hint="eastAsia" w:asciiTheme="minorEastAsia" w:hAnsiTheme="minorEastAsia" w:eastAsiaTheme="minorEastAsia" w:cstheme="minorEastAsia"/>
                <w:color w:val="auto"/>
                <w:sz w:val="21"/>
                <w:szCs w:val="21"/>
                <w:highlight w:val="none"/>
              </w:rPr>
              <w:t xml:space="preserve">：投标单位根据项目需求，结合本项目实际业务的应用，对本项目建设的设备系统的接入功能进行实施方案说明。方案中应对（1）项目整体目标及安排；（2）具体实施计划及设备安装的位置分析；（3）实施方案整体架构及功能实现进行逐一说明，且方案中须提供功能方案描述说明。</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、供</w:t>
            </w:r>
            <w:r>
              <w:rPr>
                <w:rFonts w:hint="eastAsia" w:asciiTheme="minorEastAsia" w:hAnsiTheme="minorEastAsia" w:eastAsiaTheme="minorEastAsia" w:cstheme="minorEastAsia"/>
                <w:b/>
                <w:color w:val="auto"/>
                <w:sz w:val="21"/>
                <w:szCs w:val="21"/>
                <w:highlight w:val="none"/>
              </w:rPr>
              <w:t xml:space="preserve">货方案，</w:t>
            </w:r>
            <w:r>
              <w:rPr>
                <w:rFonts w:hint="eastAsia" w:asciiTheme="minorEastAsia" w:hAnsiTheme="minorEastAsia" w:eastAsiaTheme="minorEastAsia" w:cstheme="minorEastAsia"/>
                <w:color w:val="auto"/>
                <w:sz w:val="21"/>
                <w:szCs w:val="21"/>
                <w:highlight w:val="none"/>
              </w:rPr>
              <w:t xml:space="preserve">包括：（1）供货计划；（2）供货流程</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供货措施；（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）货物的验收等。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进度控制方案</w:t>
            </w:r>
            <w:r>
              <w:rPr>
                <w:rFonts w:hint="eastAsia" w:asciiTheme="minorEastAsia" w:hAnsiTheme="minorEastAsia" w:eastAsiaTheme="minorEastAsia" w:cstheme="minorEastAsia"/>
                <w:color w:val="auto"/>
                <w:sz w:val="21"/>
                <w:szCs w:val="21"/>
                <w:highlight w:val="none"/>
              </w:rPr>
              <w:t xml:space="preserve">，包括：（1）进度计划总体说明，计划进度目标</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项目总进度计划表（图）、实施日期及里程碑节点等；（</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）现场进度控制制度及控制规范；（</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）进度控制目标体系，明确项目进度控制人员及其职责分工。</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4、质量保障方案</w:t>
            </w:r>
            <w:r>
              <w:rPr>
                <w:rFonts w:hint="eastAsia" w:asciiTheme="minorEastAsia" w:hAnsiTheme="minorEastAsia" w:eastAsiaTheme="minorEastAsia" w:cstheme="minorEastAsia"/>
                <w:color w:val="auto"/>
                <w:sz w:val="21"/>
                <w:szCs w:val="21"/>
                <w:highlight w:val="none"/>
              </w:rPr>
              <w:t xml:space="preserve">：包括：（1）施工质量方案中需提供对此次安装步骤</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安装流程；（</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）设备调试所涉及的系统说明；（</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）实施重点难点及对施工中可能出现的质量问题是否有相应的应对方法等。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安全管理方案</w:t>
            </w:r>
            <w:r>
              <w:rPr>
                <w:rFonts w:hint="eastAsia" w:asciiTheme="minorEastAsia" w:hAnsiTheme="minorEastAsia" w:eastAsiaTheme="minorEastAsia" w:cstheme="minorEastAsia"/>
                <w:color w:val="auto"/>
                <w:sz w:val="21"/>
                <w:szCs w:val="21"/>
                <w:highlight w:val="none"/>
              </w:rPr>
              <w:t xml:space="preserve">：包括（1）施工现场应急救援领导组</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领导组职责和成员分工；（</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）安全生产事故应急救援程序以及流程图；（</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）信号规定、安全生产应急事项等、安全人员名单及联系方式等信息。</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安装调试方案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投标人根据招标文件的要求提供具体详实的安装调试方案。包括但不限于：</w:t>
            </w:r>
            <w:r>
              <w:rPr>
                <w:rFonts w:hint="eastAsia" w:asciiTheme="minorEastAsia" w:hAnsiTheme="minorEastAsia" w:eastAsiaTheme="minorEastAsia" w:cstheme="minorEastAsia"/>
                <w:color w:val="auto"/>
                <w:sz w:val="21"/>
                <w:szCs w:val="21"/>
                <w:highlight w:val="none"/>
              </w:rPr>
              <w:t xml:space="preserve">（1）安装调试计划（安装调试手册、安装调试进度安排）</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安装步骤、注意事项</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调试内容、保障措施；（</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）影响关键工序、关键设备的分析及相应解决措施；（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）现场环境调查及现场勘查说明。</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3</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服务保障方案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服务保障方案</w:t>
            </w:r>
            <w:r>
              <w:rPr>
                <w:rFonts w:hint="eastAsia" w:asciiTheme="minorEastAsia" w:hAnsiTheme="minorEastAsia" w:eastAsiaTheme="minorEastAsia" w:cstheme="minorEastAsia"/>
                <w:color w:val="auto"/>
                <w:sz w:val="21"/>
                <w:szCs w:val="21"/>
                <w:highlight w:val="none"/>
              </w:rPr>
              <w:t xml:space="preserve">：包括：（1）服务的响应时间以及响应及时性保障措施；（2）</w:t>
            </w:r>
            <w:r>
              <w:rPr>
                <w:rFonts w:hint="eastAsia" w:asciiTheme="minorEastAsia" w:hAnsiTheme="minorEastAsia" w:eastAsiaTheme="minorEastAsia" w:cstheme="minorEastAsia"/>
                <w:color w:val="auto"/>
                <w:sz w:val="21"/>
                <w:szCs w:val="21"/>
                <w:highlight w:val="none"/>
                <w:lang w:val="zh-CN"/>
              </w:rPr>
              <w:t xml:space="preserve">解决问题的能力；（</w:t>
            </w: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紧急处理预案；（</w:t>
            </w:r>
            <w:r>
              <w:rPr>
                <w:rFonts w:hint="eastAsia" w:asciiTheme="minorEastAsia" w:hAnsiTheme="minorEastAsia" w:eastAsiaTheme="minorEastAsia" w:cstheme="minorEastAsia"/>
                <w:color w:val="auto"/>
                <w:sz w:val="21"/>
                <w:szCs w:val="21"/>
                <w:highlight w:val="none"/>
              </w:rPr>
              <w:t xml:space="preserve">4）故障处理流程；（5）重点</w:t>
            </w:r>
            <w:r>
              <w:rPr>
                <w:rFonts w:hint="eastAsia" w:asciiTheme="minorEastAsia" w:hAnsiTheme="minorEastAsia" w:cstheme="minorEastAsia"/>
                <w:color w:val="auto"/>
                <w:sz w:val="21"/>
                <w:szCs w:val="21"/>
                <w:highlight w:val="none"/>
                <w:lang w:val="en-US" w:eastAsia="zh-CN"/>
              </w:rPr>
              <w:t xml:space="preserve">点位</w:t>
            </w:r>
            <w:r>
              <w:rPr>
                <w:rFonts w:hint="eastAsia" w:asciiTheme="minorEastAsia" w:hAnsiTheme="minorEastAsia" w:eastAsiaTheme="minorEastAsia" w:cstheme="minorEastAsia"/>
                <w:color w:val="auto"/>
                <w:sz w:val="21"/>
                <w:szCs w:val="21"/>
                <w:highlight w:val="none"/>
              </w:rPr>
              <w:t xml:space="preserve">故障的特殊处理流程</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作业注意点及</w:t>
            </w:r>
            <w:r>
              <w:rPr>
                <w:rFonts w:hint="eastAsia" w:asciiTheme="minorEastAsia" w:hAnsiTheme="minorEastAsia" w:eastAsiaTheme="minorEastAsia" w:cstheme="minorEastAsia"/>
                <w:color w:val="auto"/>
                <w:sz w:val="21"/>
                <w:szCs w:val="21"/>
                <w:highlight w:val="none"/>
                <w:lang w:val="zh-CN"/>
              </w:rPr>
              <w:t xml:space="preserve">售后服务的优惠措施</w:t>
            </w:r>
            <w:r>
              <w:rPr>
                <w:rFonts w:hint="eastAsia" w:asciiTheme="minorEastAsia" w:hAnsiTheme="minorEastAsia" w:eastAsiaTheme="minorEastAsia" w:cstheme="minorEastAsia"/>
                <w:color w:val="auto"/>
                <w:sz w:val="21"/>
                <w:szCs w:val="21"/>
                <w:highlight w:val="none"/>
              </w:rPr>
              <w:t xml:space="preserve">等。</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链路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本项目涉及大量数据专线专用通信链路建设，投标人提供通信运营商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承诺函，承诺</w:t>
            </w:r>
            <w:r>
              <w:rPr>
                <w:rFonts w:hint="eastAsia" w:asciiTheme="minorEastAsia" w:hAnsiTheme="minorEastAsia" w:cstheme="minorEastAsia"/>
                <w:color w:val="auto"/>
                <w:sz w:val="21"/>
                <w:szCs w:val="21"/>
                <w:highlight w:val="none"/>
                <w:lang w:val="en-US" w:eastAsia="zh-CN"/>
              </w:rPr>
              <w:t xml:space="preserve">合同签订后65</w:t>
            </w:r>
            <w:r>
              <w:rPr>
                <w:rFonts w:hint="eastAsia" w:asciiTheme="minorEastAsia" w:hAnsiTheme="minorEastAsia" w:eastAsiaTheme="minorEastAsia" w:cstheme="minorEastAsia"/>
                <w:color w:val="auto"/>
                <w:sz w:val="21"/>
                <w:szCs w:val="21"/>
                <w:highlight w:val="none"/>
              </w:rPr>
              <w:t xml:space="preserve">天</w:t>
            </w:r>
            <w:r>
              <w:rPr>
                <w:rFonts w:hint="eastAsia" w:asciiTheme="minorEastAsia" w:hAnsiTheme="minorEastAsia" w:cstheme="minorEastAsia"/>
                <w:color w:val="auto"/>
                <w:sz w:val="21"/>
                <w:szCs w:val="21"/>
                <w:highlight w:val="none"/>
                <w:lang w:val="en-US" w:eastAsia="zh-CN"/>
              </w:rPr>
              <w:t xml:space="preserve">内</w:t>
            </w:r>
            <w:r>
              <w:rPr>
                <w:rFonts w:hint="eastAsia" w:asciiTheme="minorEastAsia" w:hAnsiTheme="minorEastAsia" w:eastAsiaTheme="minorEastAsia" w:cstheme="minorEastAsia"/>
                <w:color w:val="auto"/>
                <w:sz w:val="21"/>
                <w:szCs w:val="21"/>
                <w:highlight w:val="none"/>
              </w:rPr>
              <w:t xml:space="preserve">完成链路建设的得</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75</w:t>
            </w:r>
            <w:r>
              <w:rPr>
                <w:rFonts w:hint="eastAsia" w:asciiTheme="minorEastAsia" w:hAnsiTheme="minorEastAsia" w:eastAsiaTheme="minorEastAsia" w:cstheme="minorEastAsia"/>
                <w:color w:val="auto"/>
                <w:sz w:val="21"/>
                <w:szCs w:val="21"/>
                <w:highlight w:val="none"/>
              </w:rPr>
              <w:t xml:space="preserve">天内完成的得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天内完成的得1分，超过</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天或未提供承诺函的不得分，以上承诺函加盖</w:t>
            </w:r>
            <w:r>
              <w:rPr>
                <w:rFonts w:hint="eastAsia" w:asciiTheme="minorEastAsia" w:hAnsiTheme="minorEastAsia" w:cstheme="minorEastAsia"/>
                <w:color w:val="auto"/>
                <w:sz w:val="21"/>
                <w:szCs w:val="21"/>
                <w:highlight w:val="none"/>
                <w:lang w:val="en-US" w:eastAsia="zh-CN"/>
              </w:rPr>
              <w:t xml:space="preserve">区</w:t>
            </w:r>
            <w:r>
              <w:rPr>
                <w:rFonts w:hint="eastAsia" w:asciiTheme="minorEastAsia" w:hAnsiTheme="minorEastAsia" w:eastAsiaTheme="minorEastAsia" w:cstheme="minorEastAsia"/>
                <w:color w:val="auto"/>
                <w:sz w:val="21"/>
                <w:szCs w:val="21"/>
                <w:highlight w:val="none"/>
              </w:rPr>
              <w:t xml:space="preserve">级及以上通信运营商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bookmarkEnd w:id="197"/>
            <w:r/>
            <w:r/>
          </w:p>
        </w:tc>
      </w:tr>
    </w:tbl>
    <w:p>
      <w:pPr>
        <w:pStyle w:val="956"/>
        <w:ind w:firstLine="482"/>
        <w:keepLines w:val="0"/>
        <w:keepNext w:val="0"/>
        <w:pageBreakBefore w:val="0"/>
        <w:spacing w:before="120" w:beforeAutospacing="0" w:after="120" w:afterAutospacing="0"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评标方法与评标标准</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包二</w:t>
      </w:r>
      <w:r>
        <w:rPr>
          <w:rFonts w:hint="eastAsia" w:asciiTheme="minorEastAsia" w:hAnsiTheme="minorEastAsia" w:eastAsiaTheme="minorEastAsia" w:cstheme="minorEastAsia"/>
          <w:b/>
          <w:color w:val="auto"/>
          <w:sz w:val="21"/>
          <w:szCs w:val="21"/>
          <w:highlight w:val="none"/>
          <w:lang w:eastAsia="zh-CN"/>
        </w:rPr>
        <w:t xml:space="preserve">）</w:t>
      </w:r>
      <w:r/>
    </w:p>
    <w:tbl>
      <w:tblPr>
        <w:tblStyle w:val="948"/>
        <w:tblW w:w="8895"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160"/>
        <w:gridCol w:w="6279"/>
        <w:gridCol w:w="752"/>
      </w:tblGrid>
      <w:tr>
        <w:trPr>
          <w:jc w:val="center"/>
          <w:trHeight w:val="45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报价</w:t>
            </w:r>
            <w:r/>
          </w:p>
          <w:p>
            <w:pPr>
              <w:pStyle w:val="956"/>
              <w:ind w:firstLine="480"/>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有效投标报价：是指通过“投标文件初审”的投标人的经商务性评审（修正、小微企业扣除等）后的评标总价；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评标基准价=有效投标报价中的最低投标报价；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当投标人的评标总价等于评标基准价的得</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其他投标人的价格分按照下列公式计算：评标总价得分=（评标基准价/评标总价）*</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i w:val="0"/>
                <w:iCs w:val="0"/>
                <w:color w:val="auto"/>
                <w:sz w:val="21"/>
                <w:szCs w:val="21"/>
                <w:highlight w:val="none"/>
                <w:lang w:val="en-US" w:eastAsia="zh-CN" w:bidi="ar"/>
              </w:rPr>
              <w:t xml:space="preserve">30分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i w:val="0"/>
                <w:iCs w:val="0"/>
                <w:color w:val="auto"/>
                <w:sz w:val="21"/>
                <w:szCs w:val="21"/>
                <w:highlight w:val="none"/>
                <w:lang w:bidi="ar"/>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eastAsia="zh-CN" w:bidi="ar"/>
              </w:rPr>
            </w:pPr>
            <w:r>
              <w:rPr>
                <w:rFonts w:hint="eastAsia" w:asciiTheme="minorEastAsia" w:hAnsiTheme="minorEastAsia" w:cstheme="minorEastAsia"/>
                <w:i w:val="0"/>
                <w:iCs w:val="0"/>
                <w:color w:val="auto"/>
                <w:sz w:val="21"/>
                <w:szCs w:val="21"/>
                <w:highlight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分，扣完为止；</w:t>
            </w:r>
            <w:r/>
          </w:p>
          <w:p>
            <w:pPr>
              <w:ind w:firstLine="21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cstheme="minorEastAsia"/>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投标人需逐项对照演示功能</w:t>
            </w:r>
            <w:r>
              <w:rPr>
                <w:rFonts w:hint="eastAsia" w:asciiTheme="minorEastAsia" w:hAnsiTheme="minorEastAsia" w:cstheme="minorEastAsia"/>
                <w:color w:val="auto"/>
                <w:sz w:val="21"/>
                <w:szCs w:val="21"/>
                <w:highlight w:val="none"/>
                <w:lang w:val="en-US" w:eastAsia="zh-CN"/>
              </w:rPr>
              <w:t xml:space="preserve">展示投标人开发过的类似软件功能，</w:t>
            </w:r>
            <w:r>
              <w:rPr>
                <w:rFonts w:hint="eastAsia" w:asciiTheme="minorEastAsia" w:hAnsiTheme="minorEastAsia" w:eastAsiaTheme="minorEastAsia" w:cstheme="minorEastAsia"/>
                <w:color w:val="auto"/>
                <w:sz w:val="21"/>
                <w:szCs w:val="21"/>
                <w:highlight w:val="none"/>
                <w:lang w:val="en-US" w:eastAsia="zh-CN"/>
              </w:rPr>
              <w:t xml:space="preserve">采用录屏方式进行演示，每个投标人视频演示介绍</w:t>
            </w:r>
            <w:r>
              <w:rPr>
                <w:rFonts w:hint="eastAsia" w:asciiTheme="minorEastAsia" w:hAnsiTheme="minorEastAsia" w:cstheme="minorEastAsia"/>
                <w:color w:val="auto"/>
                <w:sz w:val="21"/>
                <w:szCs w:val="21"/>
                <w:highlight w:val="none"/>
                <w:lang w:val="en-US" w:eastAsia="zh-CN"/>
              </w:rPr>
              <w:t xml:space="preserve">总</w:t>
            </w:r>
            <w:r>
              <w:rPr>
                <w:rFonts w:hint="eastAsia" w:asciiTheme="minorEastAsia" w:hAnsiTheme="minorEastAsia" w:eastAsiaTheme="minorEastAsia" w:cstheme="minorEastAsia"/>
                <w:color w:val="auto"/>
                <w:sz w:val="21"/>
                <w:szCs w:val="21"/>
                <w:highlight w:val="none"/>
                <w:lang w:val="en-US" w:eastAsia="zh-CN"/>
              </w:rPr>
              <w:t xml:space="preserve">时间不超过10分钟，</w:t>
            </w:r>
            <w:r>
              <w:rPr>
                <w:rFonts w:hint="eastAsia" w:asciiTheme="minorEastAsia" w:hAnsiTheme="minorEastAsia" w:cstheme="minorEastAsia"/>
                <w:color w:val="auto"/>
                <w:sz w:val="21"/>
                <w:szCs w:val="21"/>
                <w:highlight w:val="none"/>
                <w:lang w:val="en-US" w:eastAsia="zh-CN"/>
              </w:rPr>
              <w:t xml:space="preserve">评委</w:t>
            </w:r>
            <w:r>
              <w:rPr>
                <w:rFonts w:hint="eastAsia" w:asciiTheme="minorEastAsia" w:hAnsiTheme="minorEastAsia" w:eastAsiaTheme="minorEastAsia" w:cstheme="minorEastAsia"/>
                <w:color w:val="auto"/>
                <w:sz w:val="21"/>
                <w:szCs w:val="21"/>
                <w:highlight w:val="none"/>
                <w:lang w:val="en-US" w:eastAsia="zh-CN"/>
              </w:rPr>
              <w:t xml:space="preserve">根据演示内容的功能完整性、整体集成性、操作简便性、效果流畅性和页面设计美观性等进行评分</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演示总分</w:t>
            </w:r>
            <w:r>
              <w:rPr>
                <w:rFonts w:hint="eastAsia" w:asciiTheme="minorEastAsia" w:hAnsi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cstheme="minorEastAsia"/>
                <w:color w:val="auto"/>
                <w:sz w:val="21"/>
                <w:szCs w:val="21"/>
                <w:highlight w:val="none"/>
                <w:lang w:val="en-US" w:eastAsia="zh-CN"/>
              </w:rPr>
              <w:t xml:space="preserve">功能演示</w:t>
            </w:r>
            <w:r>
              <w:rPr>
                <w:rFonts w:hint="default" w:asciiTheme="minorEastAsia" w:hAnsiTheme="minorEastAsia" w:eastAsiaTheme="minorEastAsia" w:cstheme="minorEastAsia"/>
                <w:color w:val="auto"/>
                <w:sz w:val="21"/>
                <w:szCs w:val="21"/>
                <w:highlight w:val="none"/>
                <w:lang w:val="zh-CN" w:eastAsia="zh-CN"/>
              </w:rPr>
              <w:t xml:space="preserve">内容每有一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w:t>
            </w:r>
            <w:r>
              <w:rPr>
                <w:rFonts w:hint="eastAsia" w:asciiTheme="minorEastAsia" w:hAnsiTheme="minorEastAsia" w:eastAsiaTheme="minorEastAsia" w:cstheme="minorEastAsia"/>
                <w:color w:val="auto"/>
                <w:sz w:val="21"/>
                <w:szCs w:val="21"/>
                <w:highlight w:val="none"/>
                <w:lang w:val="en-US" w:eastAsia="zh-CN"/>
              </w:rPr>
              <w:t xml:space="preserve">功能完整性</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整体集成性、操作简便性、效果流畅性和页面设计美观性</w:t>
            </w:r>
            <w:r>
              <w:rPr>
                <w:rFonts w:hint="eastAsia" w:asciiTheme="minorEastAsia" w:hAnsiTheme="minorEastAsia" w:cstheme="minorEastAsia"/>
                <w:color w:val="auto"/>
                <w:sz w:val="21"/>
                <w:szCs w:val="21"/>
                <w:highlight w:val="none"/>
                <w:lang w:val="en-US" w:eastAsia="zh-CN"/>
              </w:rPr>
              <w:t xml:space="preserve">不足</w:t>
            </w:r>
            <w:r>
              <w:rPr>
                <w:rFonts w:hint="default" w:asciiTheme="minorEastAsia" w:hAnsiTheme="minorEastAsia" w:eastAsiaTheme="minorEastAsia" w:cstheme="minorEastAsia"/>
                <w:color w:val="auto"/>
                <w:sz w:val="21"/>
                <w:szCs w:val="21"/>
                <w:highlight w:val="none"/>
                <w:lang w:val="zh-CN" w:eastAsia="zh-CN"/>
              </w:rPr>
              <w:t xml:space="preserve">等任意一种情形）的扣</w:t>
            </w:r>
            <w:r>
              <w:rPr>
                <w:rFonts w:hint="eastAsia" w:asciiTheme="minorEastAsia" w:hAnsiTheme="minorEastAsia" w:cstheme="minorEastAsia"/>
                <w:color w:val="auto"/>
                <w:sz w:val="21"/>
                <w:szCs w:val="21"/>
                <w:highlight w:val="none"/>
                <w:lang w:val="en-US" w:eastAsia="zh-CN"/>
              </w:rPr>
              <w:t xml:space="preserve">0.5</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w:t>
            </w:r>
            <w:r>
              <w:rPr>
                <w:rFonts w:hint="eastAsia" w:asciiTheme="minorEastAsia" w:hAnsiTheme="minorEastAsia" w:eastAsiaTheme="minorEastAsia" w:cstheme="minorEastAsia"/>
                <w:color w:val="auto"/>
                <w:sz w:val="21"/>
                <w:szCs w:val="21"/>
                <w:highlight w:val="none"/>
                <w:lang w:val="en-US" w:eastAsia="zh-CN"/>
              </w:rPr>
              <w:t xml:space="preserve">采用PPT讲解方式演示</w:t>
            </w:r>
            <w:r>
              <w:rPr>
                <w:rFonts w:hint="eastAsia" w:asciiTheme="minorEastAsia" w:hAnsiTheme="minorEastAsia" w:cstheme="minorEastAsia"/>
                <w:color w:val="auto"/>
                <w:sz w:val="21"/>
                <w:szCs w:val="21"/>
                <w:highlight w:val="none"/>
                <w:lang w:val="en-US" w:eastAsia="zh-CN"/>
              </w:rPr>
              <w:t xml:space="preserve">或</w:t>
            </w:r>
            <w:r>
              <w:rPr>
                <w:rFonts w:hint="default" w:asciiTheme="minorEastAsia" w:hAnsiTheme="minorEastAsia" w:eastAsiaTheme="minorEastAsia" w:cstheme="minorEastAsia"/>
                <w:color w:val="auto"/>
                <w:sz w:val="21"/>
                <w:szCs w:val="21"/>
                <w:highlight w:val="none"/>
                <w:lang w:val="zh-CN" w:eastAsia="zh-CN"/>
              </w:rPr>
              <w:t xml:space="preserve">不提供</w:t>
            </w:r>
            <w:r>
              <w:rPr>
                <w:rFonts w:hint="eastAsia" w:asciiTheme="minorEastAsia" w:hAnsiTheme="minorEastAsia" w:eastAsiaTheme="minorEastAsia" w:cstheme="minorEastAsia"/>
                <w:color w:val="auto"/>
                <w:sz w:val="21"/>
                <w:szCs w:val="21"/>
                <w:highlight w:val="none"/>
                <w:lang w:val="en-US" w:eastAsia="zh-CN"/>
              </w:rPr>
              <w:t xml:space="preserve">的</w:t>
            </w:r>
            <w:r>
              <w:rPr>
                <w:rFonts w:hint="default" w:asciiTheme="minorEastAsia" w:hAnsiTheme="minorEastAsia" w:eastAsiaTheme="minorEastAsia" w:cstheme="minorEastAsia"/>
                <w:color w:val="auto"/>
                <w:sz w:val="21"/>
                <w:szCs w:val="21"/>
                <w:highlight w:val="none"/>
                <w:lang w:val="zh-CN" w:eastAsia="zh-CN"/>
              </w:rPr>
              <w:t xml:space="preserve">不得分。</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1、勤务可视化</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警力要素上图：</w:t>
            </w:r>
            <w:r>
              <w:rPr>
                <w:rFonts w:hint="eastAsia" w:asciiTheme="minorEastAsia" w:hAnsiTheme="minorEastAsia" w:eastAsiaTheme="minorEastAsia" w:cstheme="minorEastAsia"/>
                <w:color w:val="auto"/>
                <w:sz w:val="21"/>
                <w:szCs w:val="21"/>
                <w:highlight w:val="none"/>
                <w:lang w:val="en-US" w:eastAsia="zh-CN"/>
              </w:rPr>
              <w:t xml:space="preserve">演示辖区内所有关联警力、装备、视频、重要场所、勤务资源等各类要素进行上图展示，支持</w:t>
            </w:r>
            <w:r>
              <w:rPr>
                <w:rFonts w:hint="eastAsia" w:asciiTheme="minorEastAsia" w:hAnsiTheme="minorEastAsia" w:cstheme="minorEastAsia"/>
                <w:color w:val="auto"/>
                <w:sz w:val="21"/>
                <w:szCs w:val="21"/>
                <w:highlight w:val="none"/>
                <w:lang w:val="en-US" w:eastAsia="zh-CN"/>
              </w:rPr>
              <w:t xml:space="preserve">卫星</w:t>
            </w:r>
            <w:r>
              <w:rPr>
                <w:rFonts w:hint="eastAsia" w:asciiTheme="minorEastAsia" w:hAnsiTheme="minorEastAsia" w:eastAsiaTheme="minorEastAsia" w:cstheme="minorEastAsia"/>
                <w:color w:val="auto"/>
                <w:sz w:val="21"/>
                <w:szCs w:val="21"/>
                <w:highlight w:val="none"/>
                <w:lang w:val="en-US" w:eastAsia="zh-CN"/>
              </w:rPr>
              <w:t xml:space="preserve">地图</w:t>
            </w:r>
            <w:r>
              <w:rPr>
                <w:rFonts w:hint="eastAsia" w:asciiTheme="minorEastAsia" w:hAnsiTheme="minorEastAsia" w:cstheme="minorEastAsia"/>
                <w:color w:val="auto"/>
                <w:sz w:val="21"/>
                <w:szCs w:val="21"/>
                <w:highlight w:val="none"/>
                <w:lang w:val="en-US" w:eastAsia="zh-CN"/>
              </w:rPr>
              <w:t xml:space="preserve">和标准地图</w:t>
            </w:r>
            <w:r>
              <w:rPr>
                <w:rFonts w:hint="eastAsia" w:asciiTheme="minorEastAsia" w:hAnsiTheme="minorEastAsia" w:eastAsiaTheme="minorEastAsia" w:cstheme="minorEastAsia"/>
                <w:color w:val="auto"/>
                <w:sz w:val="21"/>
                <w:szCs w:val="21"/>
                <w:highlight w:val="none"/>
                <w:lang w:val="en-US" w:eastAsia="zh-CN"/>
              </w:rPr>
              <w:t xml:space="preserve">模式的切换，满足重大活动安保一图作战需求；</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工作区域划分：</w:t>
            </w:r>
            <w:r>
              <w:rPr>
                <w:rFonts w:hint="eastAsia" w:asciiTheme="minorEastAsia" w:hAnsiTheme="minorEastAsia" w:eastAsiaTheme="minorEastAsia" w:cstheme="minorEastAsia"/>
                <w:color w:val="auto"/>
                <w:sz w:val="21"/>
                <w:szCs w:val="21"/>
                <w:highlight w:val="none"/>
                <w:lang w:val="en-US" w:eastAsia="zh-CN"/>
              </w:rPr>
              <w:t xml:space="preserve">演示通过本地行政中心的三维地图，基于地图提供</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集成接口</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实现各</w:t>
            </w:r>
            <w:r>
              <w:rPr>
                <w:rFonts w:hint="eastAsia" w:asciiTheme="minorEastAsia" w:hAnsiTheme="minorEastAsia" w:cstheme="minorEastAsia"/>
                <w:color w:val="auto"/>
                <w:sz w:val="21"/>
                <w:szCs w:val="21"/>
                <w:highlight w:val="none"/>
                <w:lang w:val="en-US" w:eastAsia="zh-CN"/>
              </w:rPr>
              <w:t xml:space="preserve">勤务</w:t>
            </w:r>
            <w:r>
              <w:rPr>
                <w:rFonts w:hint="eastAsia" w:asciiTheme="minorEastAsia" w:hAnsiTheme="minorEastAsia" w:eastAsiaTheme="minorEastAsia" w:cstheme="minorEastAsia"/>
                <w:color w:val="auto"/>
                <w:sz w:val="21"/>
                <w:szCs w:val="21"/>
                <w:highlight w:val="none"/>
                <w:lang w:val="en-US" w:eastAsia="zh-CN"/>
              </w:rPr>
              <w:t xml:space="preserve">单位工作区域的</w:t>
            </w:r>
            <w:r>
              <w:rPr>
                <w:rFonts w:hint="eastAsia" w:asciiTheme="minorEastAsia" w:hAnsiTheme="minorEastAsia" w:cstheme="minorEastAsia"/>
                <w:color w:val="auto"/>
                <w:sz w:val="21"/>
                <w:szCs w:val="21"/>
                <w:highlight w:val="none"/>
                <w:lang w:val="en-US" w:eastAsia="zh-CN"/>
              </w:rPr>
              <w:t xml:space="preserve">划分</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日常维护管理：</w:t>
            </w:r>
            <w:r>
              <w:rPr>
                <w:rFonts w:hint="eastAsia" w:asciiTheme="minorEastAsia" w:hAnsiTheme="minorEastAsia" w:eastAsiaTheme="minorEastAsia" w:cstheme="minorEastAsia"/>
                <w:color w:val="auto"/>
                <w:sz w:val="21"/>
                <w:szCs w:val="21"/>
                <w:highlight w:val="none"/>
                <w:lang w:val="en-US" w:eastAsia="zh-CN"/>
              </w:rPr>
              <w:t xml:space="preserve">演示每个</w:t>
            </w:r>
            <w:r>
              <w:rPr>
                <w:rFonts w:hint="eastAsia" w:asciiTheme="minorEastAsia" w:hAnsiTheme="minorEastAsia" w:cstheme="minorEastAsia"/>
                <w:color w:val="auto"/>
                <w:sz w:val="21"/>
                <w:szCs w:val="21"/>
                <w:highlight w:val="none"/>
                <w:lang w:val="en-US" w:eastAsia="zh-CN"/>
              </w:rPr>
              <w:t xml:space="preserve">工作</w:t>
            </w:r>
            <w:r>
              <w:rPr>
                <w:rFonts w:hint="eastAsia" w:asciiTheme="minorEastAsia" w:hAnsiTheme="minorEastAsia" w:eastAsiaTheme="minorEastAsia" w:cstheme="minorEastAsia"/>
                <w:color w:val="auto"/>
                <w:sz w:val="21"/>
                <w:szCs w:val="21"/>
                <w:highlight w:val="none"/>
                <w:lang w:val="en-US" w:eastAsia="zh-CN"/>
              </w:rPr>
              <w:t xml:space="preserve">区域的安全要求和防护等级</w:t>
            </w:r>
            <w:r>
              <w:rPr>
                <w:rFonts w:hint="eastAsia" w:asciiTheme="minorEastAsia" w:hAnsiTheme="minorEastAsia" w:cstheme="minorEastAsia"/>
                <w:color w:val="auto"/>
                <w:sz w:val="21"/>
                <w:szCs w:val="21"/>
                <w:highlight w:val="none"/>
                <w:lang w:val="en-US" w:eastAsia="zh-CN"/>
              </w:rPr>
              <w:t xml:space="preserve">以及</w:t>
            </w:r>
            <w:r>
              <w:rPr>
                <w:rFonts w:hint="eastAsia" w:asciiTheme="minorEastAsia" w:hAnsiTheme="minorEastAsia" w:eastAsiaTheme="minorEastAsia" w:cstheme="minorEastAsia"/>
                <w:color w:val="auto"/>
                <w:sz w:val="21"/>
                <w:szCs w:val="21"/>
                <w:highlight w:val="none"/>
                <w:lang w:val="en-US" w:eastAsia="zh-CN"/>
              </w:rPr>
              <w:t xml:space="preserve">日常执勤人员数据</w:t>
            </w:r>
            <w:r>
              <w:rPr>
                <w:rFonts w:hint="eastAsia" w:asciiTheme="minorEastAsia" w:hAnsiTheme="minorEastAsia" w:cstheme="minorEastAsia"/>
                <w:color w:val="auto"/>
                <w:sz w:val="21"/>
                <w:szCs w:val="21"/>
                <w:highlight w:val="none"/>
                <w:lang w:val="en-US" w:eastAsia="zh-CN"/>
              </w:rPr>
              <w:t xml:space="preserve">，实现工作</w:t>
            </w:r>
            <w:r>
              <w:rPr>
                <w:rFonts w:hint="eastAsia" w:asciiTheme="minorEastAsia" w:hAnsiTheme="minorEastAsia" w:eastAsiaTheme="minorEastAsia" w:cstheme="minorEastAsia"/>
                <w:color w:val="auto"/>
                <w:sz w:val="21"/>
                <w:szCs w:val="21"/>
                <w:highlight w:val="none"/>
                <w:lang w:val="en-US" w:eastAsia="zh-CN"/>
              </w:rPr>
              <w:t xml:space="preserve">区域</w:t>
            </w:r>
            <w:r>
              <w:rPr>
                <w:rFonts w:hint="eastAsia" w:asciiTheme="minorEastAsia" w:hAnsiTheme="minorEastAsia" w:cstheme="minorEastAsia"/>
                <w:color w:val="auto"/>
                <w:sz w:val="21"/>
                <w:szCs w:val="21"/>
                <w:highlight w:val="none"/>
                <w:lang w:val="en-US" w:eastAsia="zh-CN"/>
              </w:rPr>
              <w:t xml:space="preserve">数据</w:t>
            </w:r>
            <w:r>
              <w:rPr>
                <w:rFonts w:hint="eastAsia" w:asciiTheme="minorEastAsia" w:hAnsiTheme="minorEastAsia" w:eastAsiaTheme="minorEastAsia" w:cstheme="minorEastAsia"/>
                <w:color w:val="auto"/>
                <w:sz w:val="21"/>
                <w:szCs w:val="21"/>
                <w:highlight w:val="none"/>
                <w:lang w:val="en-US" w:eastAsia="zh-CN"/>
              </w:rPr>
              <w:t xml:space="preserve">信息</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日常维护管理</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（4）巡防工作管理：</w:t>
            </w:r>
            <w:r>
              <w:rPr>
                <w:rFonts w:hint="eastAsia" w:asciiTheme="minorEastAsia" w:hAnsiTheme="minorEastAsia" w:eastAsiaTheme="minorEastAsia" w:cstheme="minorEastAsia"/>
                <w:color w:val="auto"/>
                <w:sz w:val="21"/>
                <w:szCs w:val="21"/>
                <w:highlight w:val="none"/>
                <w:lang w:val="en-US" w:eastAsia="zh-CN"/>
              </w:rPr>
              <w:t xml:space="preserve">演示地图快速标注执勤点</w:t>
            </w:r>
            <w:r>
              <w:rPr>
                <w:rFonts w:hint="eastAsia" w:asciiTheme="minorEastAsia" w:hAnsiTheme="minorEastAsia" w:cstheme="minorEastAsia"/>
                <w:color w:val="auto"/>
                <w:sz w:val="21"/>
                <w:szCs w:val="21"/>
                <w:highlight w:val="none"/>
                <w:lang w:val="en-US" w:eastAsia="zh-CN"/>
              </w:rPr>
              <w:t xml:space="preserve">、必巡点、巡逻频次，</w:t>
            </w:r>
            <w:r>
              <w:rPr>
                <w:rFonts w:hint="eastAsia" w:asciiTheme="minorEastAsia" w:hAnsiTheme="minorEastAsia" w:eastAsiaTheme="minorEastAsia" w:cstheme="minorEastAsia"/>
                <w:color w:val="auto"/>
                <w:sz w:val="21"/>
                <w:szCs w:val="21"/>
                <w:highlight w:val="none"/>
                <w:lang w:val="en-US" w:eastAsia="zh-CN"/>
              </w:rPr>
              <w:t xml:space="preserve">自动对应巡防方案和巡防工作单位</w:t>
            </w:r>
            <w:r>
              <w:rPr>
                <w:rFonts w:hint="eastAsia" w:asciiTheme="minorEastAsia" w:hAnsiTheme="minorEastAsia" w:cstheme="minorEastAsia"/>
                <w:color w:val="auto"/>
                <w:sz w:val="21"/>
                <w:szCs w:val="21"/>
                <w:highlight w:val="none"/>
                <w:lang w:val="en-US" w:eastAsia="zh-CN"/>
              </w:rPr>
              <w:t xml:space="preserve">。</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安保实战管理</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（1）警力资源调阅：演示调用安保活动周边监控摄像头、执法记录仪视频、350M电台定位等各类一线警力资源</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实现活动现场</w:t>
            </w:r>
            <w:r>
              <w:rPr>
                <w:rFonts w:hint="eastAsia" w:asciiTheme="minorEastAsia" w:hAnsiTheme="minorEastAsia" w:cstheme="minorEastAsia"/>
                <w:color w:val="auto"/>
                <w:sz w:val="21"/>
                <w:szCs w:val="21"/>
                <w:highlight w:val="none"/>
                <w:lang w:val="en-US" w:eastAsia="zh-CN"/>
              </w:rPr>
              <w:t xml:space="preserve">安保力量</w:t>
            </w:r>
            <w:r>
              <w:rPr>
                <w:rFonts w:hint="eastAsia" w:asciiTheme="minorEastAsia" w:hAnsiTheme="minorEastAsia" w:eastAsiaTheme="minorEastAsia" w:cstheme="minorEastAsia"/>
                <w:color w:val="auto"/>
                <w:sz w:val="21"/>
                <w:szCs w:val="21"/>
                <w:highlight w:val="none"/>
                <w:lang w:val="en-US" w:eastAsia="zh-CN"/>
              </w:rPr>
              <w:t xml:space="preserve">实时可视化展示，掌握在岗警力位置、布防分布。</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（2）安保路线规划：演示针对安保任务规划通行、疏散、应急勤务路线，依托电子地图完成点位标注可视化展示。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（3）编制安保预案：</w:t>
            </w:r>
            <w:r>
              <w:rPr>
                <w:rFonts w:hint="eastAsia" w:asciiTheme="minorEastAsia" w:hAnsiTheme="minorEastAsia" w:cstheme="minorEastAsia"/>
                <w:color w:val="auto"/>
                <w:sz w:val="21"/>
                <w:szCs w:val="21"/>
                <w:highlight w:val="none"/>
                <w:lang w:val="en-US" w:eastAsia="zh-CN"/>
              </w:rPr>
              <w:t xml:space="preserve">在地图上直接标注安保分区、封控圈、执勤点位、应急救援点、分流通道，绑定警力、装备、视频、350M电台</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（4）街面警情分析：演示自动归集、研判辖区各类街面警情数据；自动生成警情质态分析报告、内部工作通报，同步触发各类重大风险警情分级预警。</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（5）勤务指令推送：演示向各片区、各勤务组下发安保任务、现场处置指令，多渠道直达一线执勤终端；后台自动汇总、实时统计全体执勤人员到岗履职数据。</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实战模型</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数据实战模型</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平台累计建设的模型总量、总预警次数，并按人员类、警情类、案件类、车辆类等业务维度，分类展示对应领域的模型数量与预警总量。</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单模型业务能力</w:t>
            </w:r>
            <w:r>
              <w:rPr>
                <w:rFonts w:hint="eastAsia" w:asciiTheme="minorEastAsia" w:hAnsiTheme="minorEastAsia" w:cstheme="minorEastAsia"/>
                <w:color w:val="auto"/>
                <w:sz w:val="21"/>
                <w:szCs w:val="21"/>
                <w:highlight w:val="none"/>
                <w:lang w:val="en-US" w:eastAsia="zh-CN"/>
              </w:rPr>
              <w:t xml:space="preserve">：演示单个</w:t>
            </w:r>
            <w:r>
              <w:rPr>
                <w:rFonts w:hint="eastAsia" w:asciiTheme="minorEastAsia" w:hAnsiTheme="minorEastAsia" w:eastAsiaTheme="minorEastAsia" w:cstheme="minorEastAsia"/>
                <w:color w:val="auto"/>
                <w:sz w:val="21"/>
                <w:szCs w:val="21"/>
                <w:highlight w:val="none"/>
                <w:lang w:val="en-US" w:eastAsia="zh-CN"/>
              </w:rPr>
              <w:t xml:space="preserve">模型</w:t>
            </w:r>
            <w:r>
              <w:rPr>
                <w:rFonts w:hint="eastAsia" w:asciiTheme="minorEastAsia" w:hAnsiTheme="minorEastAsia" w:cstheme="minorEastAsia"/>
                <w:color w:val="auto"/>
                <w:sz w:val="21"/>
                <w:szCs w:val="21"/>
                <w:highlight w:val="none"/>
                <w:lang w:val="en-US" w:eastAsia="zh-CN"/>
              </w:rPr>
              <w:t xml:space="preserve">功能</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（3）平台个性化配置：</w:t>
            </w:r>
            <w:r>
              <w:rPr>
                <w:rFonts w:hint="eastAsia" w:asciiTheme="minorEastAsia" w:hAnsiTheme="minorEastAsia" w:eastAsiaTheme="minorEastAsia" w:cstheme="minorEastAsia"/>
                <w:color w:val="auto"/>
                <w:sz w:val="21"/>
                <w:szCs w:val="21"/>
                <w:highlight w:val="none"/>
                <w:lang w:val="en-US" w:eastAsia="zh-CN"/>
              </w:rPr>
              <w:t xml:space="preserve">演示日常高频使用、重点跟进的模型加入</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w:t>
            </w:r>
            <w:r>
              <w:rPr>
                <w:rFonts w:hint="eastAsia" w:asciiTheme="minorEastAsia" w:hAnsiTheme="minorEastAsia" w:cstheme="minorEastAsia"/>
                <w:color w:val="auto"/>
                <w:sz w:val="21"/>
                <w:szCs w:val="21"/>
                <w:highlight w:val="none"/>
                <w:lang w:val="en-US" w:eastAsia="zh-CN"/>
              </w:rPr>
              <w:t xml:space="preserve">，实现在关注或收藏</w:t>
            </w:r>
            <w:r>
              <w:rPr>
                <w:rFonts w:hint="eastAsia" w:asciiTheme="minorEastAsia" w:hAnsiTheme="minorEastAsia" w:eastAsiaTheme="minorEastAsia" w:cstheme="minorEastAsia"/>
                <w:color w:val="auto"/>
                <w:sz w:val="21"/>
                <w:szCs w:val="21"/>
                <w:highlight w:val="none"/>
                <w:lang w:val="en-US" w:eastAsia="zh-CN"/>
              </w:rPr>
              <w:t xml:space="preserve">标签页</w:t>
            </w:r>
            <w:r>
              <w:rPr>
                <w:rFonts w:hint="eastAsia" w:asciiTheme="minorEastAsia" w:hAnsi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lang w:val="en-US" w:eastAsia="zh-CN"/>
              </w:rPr>
              <w:t xml:space="preserve">，快速调取已</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收藏的模型。</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警务大模型基础能力</w:t>
            </w:r>
            <w:r>
              <w:rPr>
                <w:rFonts w:hint="eastAsia" w:asciiTheme="minorEastAsia" w:hAnsiTheme="minorEastAsia" w:cstheme="minorEastAsia"/>
                <w:b/>
                <w:bCs/>
                <w:color w:val="auto"/>
                <w:sz w:val="21"/>
                <w:szCs w:val="21"/>
                <w:highlight w:val="none"/>
                <w:lang w:val="en-US" w:eastAsia="zh-CN"/>
              </w:rPr>
              <w:t xml:space="preserve">（智能体）</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多模态警情智能解析：</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输入一段报警录音</w:t>
            </w:r>
            <w:r>
              <w:rPr>
                <w:rFonts w:hint="eastAsia" w:asciiTheme="minorEastAsia" w:hAnsi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zh-CN"/>
              </w:rPr>
              <w:t xml:space="preserve">模糊警情描述，实现大模型自动完成警情分类、要素提取（时间、地点、涉事人、事件类型）、风险分级，输出结构化警务标准格式，触发大模型自动解析，精准提取事发时间、地点、涉事主体、核心事件等全量要素</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（2）智能体编排工作台：</w:t>
            </w:r>
            <w:r>
              <w:rPr>
                <w:rFonts w:hint="eastAsia" w:asciiTheme="minorEastAsia" w:hAnsiTheme="minorEastAsia" w:eastAsiaTheme="minorEastAsia" w:cstheme="minorEastAsia"/>
                <w:color w:val="auto"/>
                <w:sz w:val="21"/>
                <w:szCs w:val="21"/>
                <w:highlight w:val="none"/>
                <w:lang w:val="en-US" w:eastAsia="zh-CN"/>
              </w:rPr>
              <w:t xml:space="preserve">演示依托算力平台，进入智能体编排工作台，</w:t>
            </w:r>
            <w:r>
              <w:rPr>
                <w:rFonts w:hint="eastAsia" w:asciiTheme="minorEastAsia" w:hAnsiTheme="minorEastAsia" w:cstheme="minorEastAsia"/>
                <w:color w:val="auto"/>
                <w:sz w:val="21"/>
                <w:szCs w:val="21"/>
                <w:highlight w:val="none"/>
                <w:lang w:val="en-US" w:eastAsia="zh-CN"/>
              </w:rPr>
              <w:t xml:space="preserve">通过</w:t>
            </w:r>
            <w:r>
              <w:rPr>
                <w:rFonts w:hint="eastAsia" w:asciiTheme="minorEastAsia" w:hAnsiTheme="minorEastAsia" w:eastAsiaTheme="minorEastAsia" w:cstheme="minorEastAsia"/>
                <w:color w:val="auto"/>
                <w:sz w:val="21"/>
                <w:szCs w:val="21"/>
                <w:highlight w:val="none"/>
                <w:lang w:val="en-US" w:eastAsia="zh-CN"/>
              </w:rPr>
              <w:t xml:space="preserve">拖拽</w:t>
            </w:r>
            <w:r>
              <w:rPr>
                <w:rFonts w:hint="eastAsia" w:asciiTheme="minorEastAsia" w:hAnsiTheme="minorEastAsia" w:cstheme="minorEastAsia"/>
                <w:color w:val="auto"/>
                <w:sz w:val="21"/>
                <w:szCs w:val="21"/>
                <w:highlight w:val="none"/>
                <w:lang w:val="en-US" w:eastAsia="zh-CN"/>
              </w:rPr>
              <w:t xml:space="preserve">组合</w:t>
            </w:r>
            <w:r>
              <w:rPr>
                <w:rFonts w:hint="eastAsia" w:asciiTheme="minorEastAsia" w:hAnsiTheme="minorEastAsia" w:eastAsiaTheme="minorEastAsia" w:cstheme="minorEastAsia"/>
                <w:color w:val="auto"/>
                <w:sz w:val="21"/>
                <w:szCs w:val="21"/>
                <w:highlight w:val="none"/>
                <w:lang w:val="en-US" w:eastAsia="zh-CN"/>
              </w:rPr>
              <w:t xml:space="preserve">界面预置的能力组件（如自然语言理解、图像识别、数据查询等），</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快速搭建</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（3）权限配置：</w:t>
            </w:r>
            <w:r>
              <w:rPr>
                <w:rFonts w:hint="eastAsia" w:asciiTheme="minorEastAsia" w:hAnsiTheme="minorEastAsia" w:eastAsiaTheme="minorEastAsia" w:cstheme="minorEastAsia"/>
                <w:color w:val="auto"/>
                <w:sz w:val="21"/>
                <w:szCs w:val="21"/>
                <w:highlight w:val="none"/>
                <w:lang w:val="en-US" w:eastAsia="zh-CN"/>
              </w:rPr>
              <w:t xml:space="preserve">演示不同角色（如民警、管理员）的操作权限差异</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智能体的权限配置（如数据访问范围、API调用限制）</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（4）智能体发布：</w:t>
            </w:r>
            <w:r>
              <w:rPr>
                <w:rFonts w:hint="eastAsia" w:asciiTheme="minorEastAsia" w:hAnsiTheme="minorEastAsia" w:eastAsiaTheme="minorEastAsia" w:cstheme="minorEastAsia"/>
                <w:color w:val="auto"/>
                <w:sz w:val="21"/>
                <w:szCs w:val="21"/>
                <w:highlight w:val="none"/>
                <w:lang w:val="en-US" w:eastAsia="zh-CN"/>
              </w:rPr>
              <w:t xml:space="preserve">演示</w:t>
            </w:r>
            <w:r>
              <w:rPr>
                <w:rFonts w:hint="eastAsia" w:asciiTheme="minorEastAsia" w:hAnsiTheme="minorEastAsia" w:cstheme="minorEastAsia"/>
                <w:color w:val="auto"/>
                <w:sz w:val="21"/>
                <w:szCs w:val="21"/>
                <w:highlight w:val="none"/>
                <w:lang w:val="en-US" w:eastAsia="zh-CN"/>
              </w:rPr>
              <w:t xml:space="preserve">将智能体</w:t>
            </w:r>
            <w:r>
              <w:rPr>
                <w:rFonts w:hint="eastAsia" w:asciiTheme="minorEastAsia" w:hAnsiTheme="minorEastAsia" w:eastAsiaTheme="minorEastAsia" w:cstheme="minorEastAsia"/>
                <w:color w:val="auto"/>
                <w:sz w:val="21"/>
                <w:szCs w:val="21"/>
                <w:highlight w:val="none"/>
                <w:lang w:val="en-US" w:eastAsia="zh-CN"/>
              </w:rPr>
              <w:t xml:space="preserve">发布到能力市场</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第三方开发者通过SDK调用已发布的智能体，快速集成到自有系统</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警务大模型为可复用的智能体服务</w:t>
            </w:r>
            <w:r>
              <w:rPr>
                <w:rFonts w:hint="eastAsia" w:asciiTheme="minorEastAsia" w:hAnsi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16分</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企业</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numPr>
                <w:ilvl w:val="0"/>
                <w:numId w:val="17"/>
              </w:numPr>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投标人具有有效期内的第三方机构颁发的，且在全国认证认可信息服务平台查询状态必须是合格状态的</w:t>
            </w:r>
            <w:r>
              <w:rPr>
                <w:rFonts w:hint="eastAsia" w:asciiTheme="minorEastAsia" w:hAnsiTheme="minorEastAsia" w:eastAsiaTheme="minorEastAsia" w:cstheme="minorEastAsia"/>
                <w:b/>
                <w:bCs/>
                <w:color w:val="auto"/>
                <w:sz w:val="21"/>
                <w:szCs w:val="21"/>
                <w:highlight w:val="none"/>
                <w:lang w:val="en-US" w:eastAsia="zh-CN"/>
              </w:rPr>
              <w:t xml:space="preserve">环境管理体系认证证书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职业健康安全管理体系认证证书、质量管理体系认证证书、人工智能管理体系认证证书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信息技术服务管理体系认证证书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信息安全管理体系认证</w:t>
            </w:r>
            <w:r>
              <w:rPr>
                <w:rFonts w:hint="eastAsia" w:asciiTheme="minorEastAsia" w:hAnsiTheme="minorEastAsia" w:eastAsiaTheme="minorEastAsia" w:cstheme="minorEastAsia"/>
                <w:b/>
                <w:bCs/>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rPr>
              <w:t xml:space="preserve">一项得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本项</w:t>
            </w:r>
            <w:r>
              <w:rPr>
                <w:rFonts w:hint="eastAsia" w:asciiTheme="minorEastAsia" w:hAnsiTheme="minorEastAsia" w:eastAsiaTheme="minorEastAsia" w:cstheme="minorEastAsia"/>
                <w:color w:val="auto"/>
                <w:sz w:val="21"/>
                <w:szCs w:val="21"/>
                <w:highlight w:val="none"/>
              </w:rPr>
              <w:t xml:space="preserve">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pStyle w:val="956"/>
              <w:numPr>
                <w:ilvl w:val="0"/>
                <w:numId w:val="0"/>
              </w:numPr>
              <w:ind w:firstLine="21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6</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团队</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1、本项目项目经理同时具有数字经济（电子信息）工程专业高级工程师、信息系统项目管理师、信创集成项目管理师、系统分析师证书，每提供1种证书得0.5分，本项最高得2分，未提供不得分。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2、本项目项目技术负责人（与项目经理非同一人）同时具有高级工程师、系统规划与管理师、信息与通信工程师、注册信息安全专业人员（CISP）证书的，每提供1种证书得0.5分，本项最高得2分，未提供不得分。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驻场研发人员</w:t>
            </w:r>
            <w:r>
              <w:rPr>
                <w:rFonts w:hint="eastAsia" w:asciiTheme="minorEastAsia" w:hAnsiTheme="minorEastAsia" w:eastAsiaTheme="minorEastAsia" w:cstheme="minorEastAsia"/>
                <w:color w:val="auto"/>
                <w:sz w:val="21"/>
                <w:szCs w:val="21"/>
                <w:highlight w:val="none"/>
                <w:lang w:val="en-US" w:eastAsia="zh-CN"/>
              </w:rPr>
              <w:t xml:space="preserve">（除项目经理、技术负责人外）分别具备网络规划设计师、通信工程师、注册信息安全专业人员（CISP）</w:t>
            </w:r>
            <w:r>
              <w:rPr>
                <w:rFonts w:hint="eastAsia" w:asciiTheme="minorEastAsia" w:hAnsiTheme="minorEastAsia" w:cstheme="minorEastAsia"/>
                <w:color w:val="auto"/>
                <w:sz w:val="21"/>
                <w:szCs w:val="21"/>
                <w:highlight w:val="none"/>
                <w:lang w:val="en-US" w:eastAsia="zh-CN"/>
              </w:rPr>
              <w:t xml:space="preserve">、系统集成项目管理工程师证书的</w:t>
            </w:r>
            <w:r>
              <w:rPr>
                <w:rFonts w:hint="eastAsia" w:asciiTheme="minorEastAsia" w:hAnsiTheme="minorEastAsia" w:eastAsiaTheme="minorEastAsia" w:cstheme="minorEastAsia"/>
                <w:color w:val="auto"/>
                <w:sz w:val="21"/>
                <w:szCs w:val="21"/>
                <w:highlight w:val="none"/>
                <w:lang w:val="en-US" w:eastAsia="zh-CN"/>
              </w:rPr>
              <w:t xml:space="preserve">，每提供1种证书得0.5分，本项最高得2分，一人多证只计一次不重复得分，未提供不得分。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注：投标时须提供加盖公章的证书扫描件和本单位为其缴纳的近3个月（不含投标当月）任意一个月的社保证明扫描件，否则不得分。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投标人2023年1月1日以来承接过</w:t>
            </w:r>
            <w:r>
              <w:rPr>
                <w:rFonts w:hint="eastAsia" w:asciiTheme="minorEastAsia" w:hAnsiTheme="minorEastAsia" w:eastAsiaTheme="minorEastAsia" w:cstheme="minorEastAsia"/>
                <w:b/>
                <w:bCs/>
                <w:color w:val="auto"/>
                <w:sz w:val="21"/>
                <w:szCs w:val="21"/>
                <w:highlight w:val="none"/>
                <w:lang w:val="en-US" w:eastAsia="zh-CN"/>
              </w:rPr>
              <w:t xml:space="preserve">类似项目业绩</w:t>
            </w:r>
            <w:r>
              <w:rPr>
                <w:rFonts w:hint="eastAsia" w:asciiTheme="minorEastAsia" w:hAnsiTheme="minorEastAsia" w:eastAsiaTheme="minorEastAsia" w:cstheme="minorEastAsia"/>
                <w:color w:val="auto"/>
                <w:sz w:val="21"/>
                <w:szCs w:val="21"/>
                <w:highlight w:val="none"/>
                <w:lang w:val="en-US" w:eastAsia="zh-CN"/>
              </w:rPr>
              <w:t xml:space="preserve">的，每提供一项得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分，最高得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分。（投标时需须同时提供</w:t>
            </w:r>
            <w:r>
              <w:rPr>
                <w:rFonts w:hint="eastAsia" w:asciiTheme="minorEastAsia" w:hAnsiTheme="minorEastAsia" w:cstheme="minorEastAsia"/>
                <w:color w:val="auto"/>
                <w:sz w:val="21"/>
                <w:szCs w:val="21"/>
                <w:highlight w:val="none"/>
                <w:lang w:val="en-US" w:eastAsia="zh-CN"/>
              </w:rPr>
              <w:t xml:space="preserve">中标通知书、</w:t>
            </w:r>
            <w:r>
              <w:rPr>
                <w:rFonts w:hint="eastAsia" w:asciiTheme="minorEastAsia" w:hAnsiTheme="minorEastAsia" w:eastAsiaTheme="minorEastAsia" w:cstheme="minorEastAsia"/>
                <w:color w:val="auto"/>
                <w:sz w:val="21"/>
                <w:szCs w:val="21"/>
                <w:highlight w:val="none"/>
                <w:lang w:val="en-US" w:eastAsia="zh-CN"/>
              </w:rPr>
              <w:t xml:space="preserve">验收报告扫描件、合同扫描件，缺一项不得分）。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2</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根据第四章</w:t>
            </w:r>
            <w:r>
              <w:rPr>
                <w:rFonts w:hint="eastAsia" w:asciiTheme="minorEastAsia" w:hAnsiTheme="minorEastAsia" w:eastAsiaTheme="minorEastAsia" w:cstheme="minorEastAsia"/>
                <w:color w:val="auto"/>
                <w:sz w:val="21"/>
                <w:szCs w:val="21"/>
                <w:highlight w:val="none"/>
                <w:lang w:val="en-US" w:eastAsia="zh-CN"/>
              </w:rPr>
              <w:t xml:space="preserve">采购需求编制技术服务方案，</w:t>
            </w:r>
            <w:r>
              <w:rPr>
                <w:rFonts w:hint="eastAsia" w:asciiTheme="minorEastAsia" w:hAnsiTheme="minorEastAsia" w:eastAsiaTheme="minorEastAsia" w:cstheme="minorEastAsia"/>
                <w:color w:val="auto"/>
                <w:sz w:val="21"/>
                <w:szCs w:val="21"/>
                <w:highlight w:val="none"/>
                <w:lang w:val="zh-CN" w:eastAsia="zh-CN"/>
              </w:rPr>
              <w:t xml:space="preserve">至少要包括（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货物采购方案；（2）安装施工方案；（3）资源安排</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质量控制及工期保障方案；（4）应急</w:t>
            </w:r>
            <w:r>
              <w:rPr>
                <w:rFonts w:hint="eastAsia" w:asciiTheme="minorEastAsia" w:hAnsiTheme="minorEastAsia" w:cstheme="minorEastAsia"/>
                <w:color w:val="auto"/>
                <w:sz w:val="21"/>
                <w:szCs w:val="21"/>
                <w:highlight w:val="none"/>
                <w:lang w:val="en-US" w:eastAsia="zh-CN"/>
              </w:rPr>
              <w:t xml:space="preserve">及安全保障</w:t>
            </w:r>
            <w:r>
              <w:rPr>
                <w:rFonts w:hint="eastAsia" w:asciiTheme="minorEastAsia" w:hAnsiTheme="minorEastAsia" w:eastAsiaTheme="minorEastAsia" w:cstheme="minorEastAsia"/>
                <w:color w:val="auto"/>
                <w:sz w:val="21"/>
                <w:szCs w:val="21"/>
                <w:highlight w:val="none"/>
                <w:lang w:val="en-US" w:eastAsia="zh-CN"/>
              </w:rPr>
              <w:t xml:space="preserve">方案；（5）系统调试及验收方案；（</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）运维</w:t>
            </w:r>
            <w:r>
              <w:rPr>
                <w:rFonts w:hint="eastAsia" w:asciiTheme="minorEastAsia" w:hAnsiTheme="minorEastAsia" w:cstheme="minorEastAsia"/>
                <w:color w:val="auto"/>
                <w:sz w:val="21"/>
                <w:szCs w:val="21"/>
                <w:highlight w:val="none"/>
                <w:lang w:val="en-US" w:eastAsia="zh-CN"/>
              </w:rPr>
              <w:t xml:space="preserve">及售后</w:t>
            </w:r>
            <w:r>
              <w:rPr>
                <w:rFonts w:hint="eastAsia" w:asciiTheme="minorEastAsia" w:hAnsiTheme="minorEastAsia" w:eastAsiaTheme="minorEastAsia" w:cstheme="minorEastAsia"/>
                <w:color w:val="auto"/>
                <w:sz w:val="21"/>
                <w:szCs w:val="21"/>
                <w:highlight w:val="none"/>
                <w:lang w:val="en-US" w:eastAsia="zh-CN"/>
              </w:rPr>
              <w:t xml:space="preserve">服务方案；（</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）算力本地化部署方案。</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14</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2</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numPr>
                <w:ilvl w:val="0"/>
                <w:numId w:val="0"/>
              </w:numPr>
              <w:jc w:val="cente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14</w:t>
            </w:r>
            <w:r>
              <w:rPr>
                <w:rFonts w:hint="eastAsia" w:asciiTheme="minorEastAsia" w:hAnsiTheme="minorEastAsia" w:eastAsiaTheme="minorEastAsia" w:cstheme="minorEastAsia"/>
                <w:b w:val="0"/>
                <w:bCs w:val="0"/>
                <w:color w:val="auto"/>
                <w:sz w:val="21"/>
                <w:szCs w:val="21"/>
                <w:highlight w:val="none"/>
                <w:lang w:val="en-US" w:eastAsia="zh-CN"/>
              </w:rPr>
              <w:t xml:space="preserve">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5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56"/>
        <w:jc w:val="center"/>
        <w:spacing w:beforeAutospacing="0" w:afterAutospacing="0"/>
        <w:rPr>
          <w:color w:val="auto"/>
          <w:highlight w:val="none"/>
        </w:rPr>
      </w:pPr>
      <w:r/>
      <w:bookmarkStart w:id="198" w:name="_Toc49090576"/>
      <w:r/>
      <w:bookmarkEnd w:id="198"/>
      <w:r/>
      <w:bookmarkStart w:id="199" w:name="_Toc120614282"/>
      <w:r/>
      <w:bookmarkEnd w:id="199"/>
      <w:r/>
      <w:bookmarkStart w:id="200" w:name="_Toc26554094"/>
      <w:r/>
      <w:bookmarkStart w:id="201" w:name="_Hlt26671244"/>
      <w:r/>
      <w:bookmarkStart w:id="202" w:name="_Hlt26955039"/>
      <w:r>
        <w:rPr>
          <w:rFonts w:hint="eastAsia" w:ascii="宋体" w:hAnsi="宋体" w:eastAsia="宋体" w:cs="宋体"/>
          <w:b/>
          <w:color w:val="auto"/>
          <w:sz w:val="72"/>
          <w:szCs w:val="72"/>
          <w:highlight w:val="none"/>
        </w:rPr>
        <w:t xml:space="preserve">投 标 文 件</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名 称：</w:t>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编 号：</w:t>
      </w:r>
      <w:r/>
    </w:p>
    <w:p>
      <w:pPr>
        <w:pStyle w:val="9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956"/>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日 期 ：</w:t>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956"/>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9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956"/>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56"/>
        <w:jc w:val="both"/>
        <w:spacing w:beforeAutospacing="0" w:afterAutospacing="0" w:line="0" w:lineRule="atLeas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95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9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56"/>
        <w:jc w:val="center"/>
        <w:spacing w:beforeAutospacing="0" w:afterAutospacing="0"/>
        <w:rPr>
          <w:rFonts w:ascii="黑体" w:hAnsi="宋体" w:eastAsia="黑体" w:cs="黑体"/>
          <w:i/>
          <w:color w:val="auto"/>
          <w:sz w:val="32"/>
          <w:szCs w:val="32"/>
          <w:highlight w:val="none"/>
          <w:u w:val="single"/>
        </w:rPr>
      </w:pPr>
      <w:r/>
      <w:bookmarkStart w:id="203" w:name="_Toc120614284"/>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56"/>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04" w:name="_Hlt26671380"/>
      <w:r/>
      <w:bookmarkStart w:id="205" w:name="_格式3__银行出具的资信证明"/>
      <w:r/>
      <w:bookmarkStart w:id="206" w:name="_Hlt26955070"/>
      <w:r>
        <w:rPr>
          <w:rFonts w:ascii="Times New Roman" w:hAnsi="Times New Roman"/>
          <w:color w:val="auto"/>
          <w:highlight w:val="none"/>
          <w:u w:val="single"/>
        </w:rPr>
        <w:t xml:space="preserve"> </w:t>
      </w:r>
      <w:r/>
    </w:p>
    <w:p>
      <w:pPr>
        <w:pStyle w:val="956"/>
        <w:ind w:firstLine="42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56"/>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56"/>
        <w:ind w:right="72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5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56"/>
        <w:ind w:firstLine="36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56"/>
        <w:ind w:firstLine="624"/>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56"/>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spacing w:val="27"/>
          <w:sz w:val="39"/>
          <w:szCs w:val="39"/>
          <w:highlight w:val="none"/>
        </w:rPr>
      </w:pPr>
      <w:r>
        <w:rPr>
          <w:color w:val="auto"/>
          <w:spacing w:val="27"/>
          <w:sz w:val="39"/>
          <w:szCs w:val="39"/>
          <w:highlight w:val="none"/>
        </w:rPr>
        <w:br w:type="page" w:clear="all"/>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、投标分项报价表（分包号：***）</w:t>
      </w:r>
      <w:r/>
    </w:p>
    <w:tbl>
      <w:tblPr>
        <w:tblStyle w:val="94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4"/>
        <w:gridCol w:w="1383"/>
        <w:gridCol w:w="1176"/>
        <w:gridCol w:w="1559"/>
        <w:gridCol w:w="1528"/>
        <w:gridCol w:w="1151"/>
      </w:tblGrid>
      <w:tr>
        <w:trPr>
          <w:tblCellSpacing w:w="0" w:type="dxa"/>
          <w:trHeight w:val="81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rFonts w:hint="eastAsia" w:eastAsia="宋体" w:cs="Times New Roman" w:asciiTheme="minorHAnsi" w:hAnsiTheme="minorHAnsi"/>
                <w:color w:val="auto"/>
                <w:sz w:val="24"/>
                <w:szCs w:val="24"/>
                <w:highlight w:val="none"/>
                <w:lang w:val="en-US" w:eastAsia="zh-CN" w:bidi="ar-SA"/>
              </w:rPr>
            </w:pPr>
            <w:r>
              <w:rPr>
                <w:rFonts w:hint="eastAsia" w:ascii="宋体" w:hAnsi="宋体" w:eastAsia="宋体" w:cs="宋体"/>
                <w:color w:val="auto"/>
                <w:highlight w:val="none"/>
              </w:rPr>
              <w:t xml:space="preserve">分项单价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分项总价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品牌</w:t>
            </w:r>
            <w:r/>
          </w:p>
        </w:tc>
      </w:tr>
      <w:tr>
        <w:trPr>
          <w:tblCellSpacing w:w="0" w:type="dxa"/>
          <w:trHeight w:val="51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r>
      <w:tr>
        <w:trPr>
          <w:tblCellSpacing w:w="0" w:type="dxa"/>
          <w:trHeight w:val="505"/>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3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6"/>
            <w:shd w:val="clear" w:color="auto" w:fill="auto"/>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56"/>
        <w:numPr>
          <w:ilvl w:val="0"/>
          <w:numId w:val="18"/>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56"/>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bookmarkStart w:id="20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bookmarkStart w:id="208" w:name="_Hlt26671372"/>
            <w:r/>
            <w:bookmarkStart w:id="209" w:name="_Hlt26609391"/>
            <w:r/>
            <w:bookmarkStart w:id="210" w:name="_Hlt26955056"/>
            <w:r/>
            <w:bookmarkStart w:id="211" w:name="_Hlt26955064"/>
            <w:r/>
            <w:bookmarkStart w:id="212" w:name="_Hlt26580838"/>
            <w:r/>
            <w:bookmarkStart w:id="213" w:name="_Hlt26671343"/>
            <w:r/>
            <w:bookmarkStart w:id="214" w:name="_Hlt26782999"/>
            <w:r/>
            <w:bookmarkStart w:id="215" w:name="_Hlt24879081"/>
            <w:r>
              <w:rPr>
                <w:rFonts w:hint="eastAsia" w:ascii="宋体" w:hAnsi="宋体" w:eastAsia="宋体" w:cs="宋体"/>
                <w:color w:val="auto"/>
                <w:highlight w:val="none"/>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bookmarkStart w:id="216" w:name="_Hlt26955066"/>
      <w:r/>
      <w:bookmarkStart w:id="217" w:name="_Toc462564146"/>
      <w:r/>
      <w:bookmarkStart w:id="218" w:name="_Hlt26671374"/>
      <w:r/>
      <w:bookmarkStart w:id="219" w:name="_Hlt26609389"/>
      <w:r/>
      <w:bookmarkStart w:id="220" w:name="_格式2__法定代表人授权书"/>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i w:val="0"/>
          <w:iCs/>
          <w:color w:val="auto"/>
          <w:highlight w:val="none"/>
          <w:u w:val="none"/>
          <w:shd w:val="clear" w:color="auto" w:fill="auto"/>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四</w:t>
      </w:r>
      <w:r>
        <w:rPr>
          <w:rFonts w:hint="eastAsia" w:ascii="黑体" w:hAnsi="宋体" w:eastAsia="黑体" w:cs="黑体"/>
          <w:b/>
          <w:i w:val="0"/>
          <w:iCs/>
          <w:color w:val="auto"/>
          <w:sz w:val="32"/>
          <w:szCs w:val="32"/>
          <w:highlight w:val="none"/>
          <w:u w:val="none"/>
        </w:rPr>
        <w:t xml:space="preserve">、开标一览表</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 </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948"/>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小写：（人民币：元）</w:t>
            </w:r>
            <w:r/>
          </w:p>
        </w:tc>
      </w:tr>
    </w:tbl>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、技术方案、服务承诺、培训承诺等</w:t>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r/>
    </w:p>
    <w:p>
      <w:pPr>
        <w:pStyle w:val="956"/>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94"/>
      <w:r/>
      <w:bookmarkEnd w:id="200"/>
      <w:r/>
      <w:bookmarkEnd w:id="201"/>
      <w:r/>
      <w:bookmarkEnd w:id="202"/>
      <w:r/>
      <w:bookmarkEnd w:id="203"/>
      <w:r/>
      <w:bookmarkEnd w:id="204"/>
      <w:r/>
      <w:bookmarkEnd w:id="205"/>
      <w:r/>
      <w:bookmarkEnd w:id="206"/>
      <w:r/>
      <w:bookmarkEnd w:id="207"/>
      <w:r/>
      <w:bookmarkEnd w:id="216"/>
      <w:r/>
      <w:bookmarkEnd w:id="217"/>
      <w:r/>
      <w:bookmarkEnd w:id="218"/>
      <w:r/>
      <w:bookmarkEnd w:id="219"/>
      <w:r/>
      <w:bookmarkEnd w:id="220"/>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56"/>
        <w:jc w:val="both"/>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56"/>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6"/>
        <w:spacing w:beforeAutospacing="0" w:afterAutospacing="0" w:line="24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楷体_GB2312">
    <w:panose1 w:val="02010609060101010101"/>
  </w:font>
  <w:font w:name="仿宋">
    <w:panose1 w:val="02010609060101010101"/>
  </w:font>
  <w:font w:name="等线">
    <w:panose1 w:val="02010600030101010101"/>
  </w:font>
  <w:font w:name="Microsoft Himalaya">
    <w:panose1 w:val="0101010001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8"/>
  </w:num>
  <w:num w:numId="4">
    <w:abstractNumId w:val="13"/>
  </w:num>
  <w:num w:numId="5">
    <w:abstractNumId w:val="17"/>
  </w:num>
  <w:num w:numId="6">
    <w:abstractNumId w:val="11"/>
  </w:num>
  <w:num w:numId="7">
    <w:abstractNumId w:val="4"/>
  </w:num>
  <w:num w:numId="8">
    <w:abstractNumId w:val="9"/>
  </w:num>
  <w:num w:numId="9">
    <w:abstractNumId w:val="12"/>
  </w:num>
  <w:num w:numId="10">
    <w:abstractNumId w:val="3"/>
  </w:num>
  <w:num w:numId="11">
    <w:abstractNumId w:val="7"/>
  </w:num>
  <w:num w:numId="12">
    <w:abstractNumId w:val="0"/>
  </w:num>
  <w:num w:numId="13">
    <w:abstractNumId w:val="16"/>
  </w:num>
  <w:num w:numId="14">
    <w:abstractNumId w:val="14"/>
  </w:num>
  <w:num w:numId="15">
    <w:abstractNumId w:val="15"/>
  </w:num>
  <w:num w:numId="16">
    <w:abstractNumId w:val="2"/>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5"/>
    <w:next w:val="945"/>
    <w:link w:val="773"/>
    <w:uiPriority w:val="9"/>
    <w:qFormat/>
    <w:pPr>
      <w:keepLines/>
      <w:keepNext/>
      <w:spacing w:before="480" w:after="200"/>
      <w:outlineLvl w:val="0"/>
    </w:pPr>
    <w:rPr>
      <w:rFonts w:ascii="Arial" w:hAnsi="Arial" w:eastAsia="Arial" w:cs="Arial"/>
      <w:sz w:val="40"/>
      <w:szCs w:val="40"/>
    </w:rPr>
  </w:style>
  <w:style w:type="character" w:styleId="773">
    <w:name w:val="Heading 1 Char"/>
    <w:basedOn w:val="947"/>
    <w:link w:val="772"/>
    <w:uiPriority w:val="9"/>
    <w:rPr>
      <w:rFonts w:ascii="Arial" w:hAnsi="Arial" w:eastAsia="Arial" w:cs="Arial"/>
      <w:sz w:val="40"/>
      <w:szCs w:val="40"/>
    </w:rPr>
  </w:style>
  <w:style w:type="character" w:styleId="774">
    <w:name w:val="Heading 2 Char"/>
    <w:basedOn w:val="947"/>
    <w:link w:val="946"/>
    <w:uiPriority w:val="9"/>
    <w:rPr>
      <w:rFonts w:ascii="Arial" w:hAnsi="Arial" w:eastAsia="Arial" w:cs="Arial"/>
      <w:sz w:val="34"/>
    </w:rPr>
  </w:style>
  <w:style w:type="paragraph" w:styleId="775">
    <w:name w:val="Heading 3"/>
    <w:basedOn w:val="945"/>
    <w:next w:val="945"/>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basedOn w:val="947"/>
    <w:link w:val="775"/>
    <w:uiPriority w:val="9"/>
    <w:rPr>
      <w:rFonts w:ascii="Arial" w:hAnsi="Arial" w:eastAsia="Arial" w:cs="Arial"/>
      <w:sz w:val="30"/>
      <w:szCs w:val="30"/>
    </w:rPr>
  </w:style>
  <w:style w:type="paragraph" w:styleId="777">
    <w:name w:val="Heading 4"/>
    <w:basedOn w:val="945"/>
    <w:next w:val="945"/>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basedOn w:val="947"/>
    <w:link w:val="777"/>
    <w:uiPriority w:val="9"/>
    <w:rPr>
      <w:rFonts w:ascii="Arial" w:hAnsi="Arial" w:eastAsia="Arial" w:cs="Arial"/>
      <w:b/>
      <w:bCs/>
      <w:sz w:val="26"/>
      <w:szCs w:val="26"/>
    </w:rPr>
  </w:style>
  <w:style w:type="paragraph" w:styleId="779">
    <w:name w:val="Heading 5"/>
    <w:basedOn w:val="945"/>
    <w:next w:val="945"/>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7"/>
    <w:link w:val="779"/>
    <w:uiPriority w:val="9"/>
    <w:rPr>
      <w:rFonts w:ascii="Arial" w:hAnsi="Arial" w:eastAsia="Arial" w:cs="Arial"/>
      <w:b/>
      <w:bCs/>
      <w:sz w:val="24"/>
      <w:szCs w:val="24"/>
    </w:rPr>
  </w:style>
  <w:style w:type="paragraph" w:styleId="781">
    <w:name w:val="Heading 6"/>
    <w:basedOn w:val="945"/>
    <w:next w:val="945"/>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7"/>
    <w:link w:val="781"/>
    <w:uiPriority w:val="9"/>
    <w:rPr>
      <w:rFonts w:ascii="Arial" w:hAnsi="Arial" w:eastAsia="Arial" w:cs="Arial"/>
      <w:b/>
      <w:bCs/>
      <w:sz w:val="22"/>
      <w:szCs w:val="22"/>
    </w:rPr>
  </w:style>
  <w:style w:type="paragraph" w:styleId="783">
    <w:name w:val="Heading 7"/>
    <w:basedOn w:val="945"/>
    <w:next w:val="945"/>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7"/>
    <w:link w:val="783"/>
    <w:uiPriority w:val="9"/>
    <w:rPr>
      <w:rFonts w:ascii="Arial" w:hAnsi="Arial" w:eastAsia="Arial" w:cs="Arial"/>
      <w:b/>
      <w:bCs/>
      <w:i/>
      <w:iCs/>
      <w:sz w:val="22"/>
      <w:szCs w:val="22"/>
    </w:rPr>
  </w:style>
  <w:style w:type="paragraph" w:styleId="785">
    <w:name w:val="Heading 8"/>
    <w:basedOn w:val="945"/>
    <w:next w:val="945"/>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7"/>
    <w:link w:val="785"/>
    <w:uiPriority w:val="9"/>
    <w:rPr>
      <w:rFonts w:ascii="Arial" w:hAnsi="Arial" w:eastAsia="Arial" w:cs="Arial"/>
      <w:i/>
      <w:iCs/>
      <w:sz w:val="22"/>
      <w:szCs w:val="22"/>
    </w:rPr>
  </w:style>
  <w:style w:type="paragraph" w:styleId="787">
    <w:name w:val="Heading 9"/>
    <w:basedOn w:val="945"/>
    <w:next w:val="945"/>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7"/>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45"/>
    <w:next w:val="945"/>
    <w:link w:val="791"/>
    <w:uiPriority w:val="10"/>
    <w:qFormat/>
    <w:pPr>
      <w:contextualSpacing/>
      <w:spacing w:before="300" w:after="200"/>
    </w:pPr>
    <w:rPr>
      <w:sz w:val="48"/>
      <w:szCs w:val="48"/>
    </w:rPr>
  </w:style>
  <w:style w:type="character" w:styleId="791">
    <w:name w:val="Title Char"/>
    <w:basedOn w:val="947"/>
    <w:link w:val="790"/>
    <w:uiPriority w:val="10"/>
    <w:rPr>
      <w:sz w:val="48"/>
      <w:szCs w:val="48"/>
    </w:rPr>
  </w:style>
  <w:style w:type="paragraph" w:styleId="792">
    <w:name w:val="Subtitle"/>
    <w:basedOn w:val="945"/>
    <w:next w:val="945"/>
    <w:link w:val="793"/>
    <w:uiPriority w:val="11"/>
    <w:qFormat/>
    <w:pPr>
      <w:spacing w:before="200" w:after="200"/>
    </w:pPr>
    <w:rPr>
      <w:sz w:val="24"/>
      <w:szCs w:val="24"/>
    </w:rPr>
  </w:style>
  <w:style w:type="character" w:styleId="793">
    <w:name w:val="Subtitle Char"/>
    <w:basedOn w:val="947"/>
    <w:link w:val="792"/>
    <w:uiPriority w:val="11"/>
    <w:rPr>
      <w:sz w:val="24"/>
      <w:szCs w:val="24"/>
    </w:rPr>
  </w:style>
  <w:style w:type="paragraph" w:styleId="794">
    <w:name w:val="Quote"/>
    <w:basedOn w:val="945"/>
    <w:next w:val="945"/>
    <w:link w:val="795"/>
    <w:uiPriority w:val="29"/>
    <w:qFormat/>
    <w:pPr>
      <w:ind w:left="720" w:right="720"/>
    </w:pPr>
    <w:rPr>
      <w:i/>
    </w:rPr>
  </w:style>
  <w:style w:type="character" w:styleId="795">
    <w:name w:val="Quote Char"/>
    <w:link w:val="794"/>
    <w:uiPriority w:val="29"/>
    <w:rPr>
      <w:i/>
    </w:rPr>
  </w:style>
  <w:style w:type="paragraph" w:styleId="796">
    <w:name w:val="Intense Quote"/>
    <w:basedOn w:val="945"/>
    <w:next w:val="945"/>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7"/>
    <w:link w:val="955"/>
    <w:uiPriority w:val="99"/>
  </w:style>
  <w:style w:type="character" w:styleId="799">
    <w:name w:val="Footer Char"/>
    <w:basedOn w:val="947"/>
    <w:link w:val="954"/>
    <w:uiPriority w:val="99"/>
  </w:style>
  <w:style w:type="paragraph" w:styleId="800">
    <w:name w:val="Caption"/>
    <w:basedOn w:val="945"/>
    <w:next w:val="945"/>
    <w:uiPriority w:val="35"/>
    <w:semiHidden/>
    <w:unhideWhenUsed/>
    <w:qFormat/>
    <w:pPr>
      <w:spacing w:line="276" w:lineRule="auto"/>
    </w:pPr>
    <w:rPr>
      <w:b/>
      <w:bCs/>
      <w:color w:val="4f81bd" w:themeColor="accent1"/>
      <w:sz w:val="18"/>
      <w:szCs w:val="18"/>
    </w:rPr>
  </w:style>
  <w:style w:type="character" w:styleId="801">
    <w:name w:val="Caption Char"/>
    <w:basedOn w:val="800"/>
    <w:link w:val="954"/>
    <w:uiPriority w:val="99"/>
  </w:style>
  <w:style w:type="table" w:styleId="802">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8">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2">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7">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4">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4">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8">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1">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5">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7"/>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7"/>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6">
    <w:name w:val="Heading 2"/>
    <w:basedOn w:val="945"/>
    <w:next w:val="9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Normal Indent"/>
    <w:basedOn w:val="945"/>
    <w:uiPriority w:val="0"/>
    <w:qFormat/>
    <w:pPr>
      <w:ind w:firstLine="420"/>
    </w:pPr>
  </w:style>
  <w:style w:type="paragraph" w:styleId="950">
    <w:name w:val="annotation text"/>
    <w:basedOn w:val="945"/>
    <w:uiPriority w:val="0"/>
    <w:qFormat/>
    <w:pPr>
      <w:jc w:val="left"/>
    </w:pPr>
  </w:style>
  <w:style w:type="paragraph" w:styleId="951">
    <w:name w:val="Body Text"/>
    <w:basedOn w:val="945"/>
    <w:next w:val="952"/>
    <w:uiPriority w:val="0"/>
    <w:unhideWhenUsed/>
    <w:qFormat/>
    <w:pPr>
      <w:spacing w:after="120"/>
    </w:pPr>
    <w:rPr>
      <w:rFonts w:ascii="Calibri" w:hAnsi="Calibri"/>
      <w:szCs w:val="22"/>
    </w:rPr>
  </w:style>
  <w:style w:type="paragraph" w:styleId="952" w:customStyle="1">
    <w:name w:val="Default"/>
    <w:basedOn w:val="945"/>
    <w:uiPriority w:val="0"/>
    <w:semiHidden/>
    <w:qFormat/>
    <w:pPr>
      <w:jc w:val="left"/>
    </w:pPr>
    <w:rPr>
      <w:rFonts w:ascii="宋体" w:hAnsi="Calibri" w:cs="宋体"/>
      <w:color w:val="000000"/>
      <w:sz w:val="24"/>
    </w:rPr>
  </w:style>
  <w:style w:type="paragraph" w:styleId="953">
    <w:name w:val="Plain Text"/>
    <w:basedOn w:val="945"/>
    <w:uiPriority w:val="0"/>
    <w:unhideWhenUsed/>
    <w:qFormat/>
    <w:rPr>
      <w:rFonts w:ascii="宋体" w:hAnsi="Courier New" w:cs="Courier New"/>
      <w:szCs w:val="21"/>
    </w:rPr>
  </w:style>
  <w:style w:type="paragraph" w:styleId="954">
    <w:name w:val="Footer"/>
    <w:basedOn w:val="945"/>
    <w:link w:val="960"/>
    <w:uiPriority w:val="0"/>
    <w:qFormat/>
    <w:pPr>
      <w:jc w:val="left"/>
      <w:tabs>
        <w:tab w:val="center" w:pos="4153" w:leader="none"/>
        <w:tab w:val="right" w:pos="8306" w:leader="none"/>
      </w:tabs>
    </w:pPr>
    <w:rPr>
      <w:sz w:val="18"/>
      <w:szCs w:val="18"/>
    </w:rPr>
  </w:style>
  <w:style w:type="paragraph" w:styleId="955">
    <w:name w:val="Header"/>
    <w:basedOn w:val="945"/>
    <w:link w:val="959"/>
    <w:uiPriority w:val="0"/>
    <w:qFormat/>
    <w:pPr>
      <w:jc w:val="center"/>
      <w:tabs>
        <w:tab w:val="center" w:pos="4153" w:leader="none"/>
        <w:tab w:val="right" w:pos="8306" w:leader="none"/>
      </w:tabs>
      <w:pBdr>
        <w:bottom w:val="single" w:color="auto" w:sz="6" w:space="1"/>
      </w:pBdr>
    </w:pPr>
    <w:rPr>
      <w:sz w:val="18"/>
      <w:szCs w:val="18"/>
    </w:rPr>
  </w:style>
  <w:style w:type="paragraph" w:styleId="956">
    <w:name w:val="Normal (Web)"/>
    <w:basedOn w:val="945"/>
    <w:uiPriority w:val="0"/>
    <w:qFormat/>
    <w:pPr>
      <w:jc w:val="left"/>
      <w:spacing w:beforeAutospacing="1" w:afterAutospacing="1"/>
    </w:pPr>
    <w:rPr>
      <w:rFonts w:cs="Times New Roman"/>
      <w:sz w:val="24"/>
    </w:rPr>
  </w:style>
  <w:style w:type="table" w:styleId="957">
    <w:name w:val="Table Grid"/>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Emphasis"/>
    <w:uiPriority w:val="0"/>
    <w:qFormat/>
    <w:rPr>
      <w:i/>
    </w:rPr>
  </w:style>
  <w:style w:type="character" w:styleId="959" w:customStyle="1">
    <w:name w:val="页眉 Char"/>
    <w:basedOn w:val="947"/>
    <w:link w:val="955"/>
    <w:uiPriority w:val="0"/>
    <w:qFormat/>
    <w:rPr>
      <w:rFonts w:asciiTheme="minorHAnsi" w:hAnsiTheme="minorHAnsi" w:eastAsiaTheme="minorEastAsia" w:cstheme="minorBidi"/>
      <w:sz w:val="18"/>
      <w:szCs w:val="18"/>
    </w:rPr>
  </w:style>
  <w:style w:type="character" w:styleId="960" w:customStyle="1">
    <w:name w:val="页脚 Char"/>
    <w:basedOn w:val="947"/>
    <w:link w:val="954"/>
    <w:uiPriority w:val="0"/>
    <w:qFormat/>
    <w:rPr>
      <w:rFonts w:asciiTheme="minorHAnsi" w:hAnsiTheme="minorHAnsi" w:eastAsiaTheme="minorEastAsia" w:cstheme="minorBidi"/>
      <w:sz w:val="18"/>
      <w:szCs w:val="18"/>
    </w:rPr>
  </w:style>
  <w:style w:type="paragraph" w:styleId="9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2" w:customStyle="1">
    <w:name w:val="页脚1"/>
    <w:basedOn w:val="945"/>
    <w:uiPriority w:val="99"/>
    <w:unhideWhenUsed/>
    <w:qFormat/>
    <w:pPr>
      <w:jc w:val="left"/>
      <w:tabs>
        <w:tab w:val="center" w:pos="4153" w:leader="none"/>
        <w:tab w:val="right" w:pos="8306" w:leader="none"/>
      </w:tabs>
    </w:pPr>
    <w:rPr>
      <w:sz w:val="18"/>
      <w:szCs w:val="18"/>
    </w:rPr>
  </w:style>
  <w:style w:type="paragraph" w:styleId="963" w:customStyle="1">
    <w:name w:val="普通正文"/>
    <w:basedOn w:val="945"/>
    <w:uiPriority w:val="0"/>
    <w:qFormat/>
    <w:pPr>
      <w:ind w:firstLine="480"/>
      <w:jc w:val="left"/>
      <w:spacing w:before="120" w:after="120" w:line="360" w:lineRule="auto"/>
    </w:pPr>
    <w:rPr>
      <w:rFonts w:ascii="Arial" w:hAnsi="Arial" w:eastAsia="等线" w:cs="Arial"/>
      <w:sz w:val="24"/>
      <w:szCs w:val="24"/>
    </w:rPr>
  </w:style>
  <w:style w:type="paragraph" w:styleId="964" w:customStyle="1">
    <w:name w:val="正文首行缩进 21"/>
    <w:basedOn w:val="965"/>
    <w:next w:val="945"/>
    <w:uiPriority w:val="0"/>
    <w:qFormat/>
    <w:pPr>
      <w:ind w:firstLine="420"/>
    </w:pPr>
  </w:style>
  <w:style w:type="paragraph" w:styleId="965" w:customStyle="1">
    <w:name w:val="正文文本缩进1"/>
    <w:basedOn w:val="945"/>
    <w:uiPriority w:val="0"/>
    <w:qFormat/>
    <w:pPr>
      <w:ind w:left="420"/>
      <w:spacing w:after="120"/>
    </w:pPr>
  </w:style>
  <w:style w:type="paragraph" w:styleId="966" w:customStyle="1">
    <w:name w:val="纯文本1"/>
    <w:basedOn w:val="945"/>
    <w:uiPriority w:val="0"/>
    <w:qFormat/>
    <w:rPr>
      <w:rFonts w:ascii="宋体" w:hAnsi="Courier New" w:cs="Courier New"/>
    </w:rPr>
  </w:style>
  <w:style w:type="paragraph" w:styleId="967" w:customStyle="1">
    <w:name w:val="正文首行缩进1"/>
    <w:basedOn w:val="945"/>
    <w:uiPriority w:val="99"/>
    <w:qFormat/>
    <w:pPr>
      <w:ind w:firstLine="200"/>
      <w:spacing w:line="360" w:lineRule="auto"/>
    </w:pPr>
  </w:style>
  <w:style w:type="paragraph" w:styleId="968" w:customStyle="1">
    <w:name w:val="标题 11"/>
    <w:basedOn w:val="945"/>
    <w:next w:val="945"/>
    <w:uiPriority w:val="0"/>
    <w:qFormat/>
    <w:pPr>
      <w:jc w:val="center"/>
      <w:keepNext/>
      <w:outlineLvl w:val="0"/>
    </w:pPr>
    <w:rPr>
      <w:rFonts w:ascii="楷体_GB2312" w:eastAsia="楷体_GB2312"/>
      <w:sz w:val="28"/>
      <w:szCs w:val="28"/>
    </w:rPr>
  </w:style>
  <w:style w:type="paragraph" w:styleId="969" w:customStyle="1">
    <w:name w:val="普通(网站)1"/>
    <w:basedOn w:val="945"/>
    <w:uiPriority w:val="99"/>
    <w:qFormat/>
    <w:pPr>
      <w:spacing w:before="100" w:beforeAutospacing="1" w:after="100" w:afterAutospacing="1"/>
      <w:widowControl/>
    </w:pPr>
    <w:rPr>
      <w:sz w:val="24"/>
    </w:rPr>
  </w:style>
  <w:style w:type="table" w:styleId="970" w:customStyle="1">
    <w:name w:val="网格型1"/>
    <w:basedOn w:val="971"/>
    <w:uiPriority w:val="99"/>
    <w:qFormat/>
    <w:tblPr/>
  </w:style>
  <w:style w:type="table" w:styleId="971" w:customStyle="1">
    <w:name w:val="普通表格1"/>
    <w:uiPriority w:val="99"/>
    <w:unhideWhenUsed/>
    <w:qFormat/>
    <w:tblPr/>
  </w:style>
  <w:style w:type="paragraph" w:styleId="972" w:customStyle="1">
    <w:name w:val="段"/>
    <w:next w:val="94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73">
    <w:name w:val="List Paragraph"/>
    <w:basedOn w:val="945"/>
    <w:uiPriority w:val="34"/>
    <w:qFormat/>
    <w:pPr>
      <w:contextualSpacing/>
      <w:ind w:left="720"/>
    </w:pPr>
  </w:style>
  <w:style w:type="paragraph" w:styleId="974" w:customStyle="1">
    <w:name w:val="正文文本缩进11"/>
    <w:basedOn w:val="945"/>
    <w:next w:val="964"/>
    <w:uiPriority w:val="0"/>
    <w:unhideWhenUsed/>
    <w:qFormat/>
    <w:pPr>
      <w:ind w:left="420"/>
      <w:spacing w:after="120"/>
    </w:p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122</cp:revision>
  <dcterms:created xsi:type="dcterms:W3CDTF">2014-10-29T12:08:00Z</dcterms:created>
  <dcterms:modified xsi:type="dcterms:W3CDTF">2026-07-10T02:59:18Z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BC71283CCC774EC98D2FEB35F4BB2654_13</vt:lpwstr>
  </property>
  <property fmtid="{D5CDD505-2E9C-101B-9397-08002B2CF9AE}" pid="4" name="KSOTemplateDocerSaveRecord">
    <vt:lpwstr>eyJoZGlkIjoiNjA2NzZjZjgzZWEzYjNhMjQxYTViNDY4MTBhNGZkYjEiLCJ1c2VySWQiOiI1MjAyNTAxMTMifQ==</vt:lpwstr>
  </property>
</Properties>
</file>